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C601A" w14:textId="2F513E16" w:rsidR="003C57A6" w:rsidRPr="00250410" w:rsidRDefault="00BD4A16" w:rsidP="0053325F">
      <w:pPr>
        <w:pStyle w:val="Heading1"/>
        <w:pBdr>
          <w:top w:val="dotted" w:sz="4" w:space="2" w:color="auto"/>
          <w:left w:val="dotted" w:sz="4" w:space="17" w:color="auto"/>
          <w:bottom w:val="dotted" w:sz="4" w:space="2" w:color="auto"/>
          <w:right w:val="dotted" w:sz="4" w:space="17" w:color="auto"/>
          <w:between w:val="dotted" w:sz="4" w:space="2" w:color="auto"/>
          <w:bar w:val="dotted" w:sz="4" w:color="auto"/>
        </w:pBdr>
        <w:ind w:firstLine="720"/>
        <w:jc w:val="left"/>
        <w:rPr>
          <w:b w:val="0"/>
          <w:bCs w:val="0"/>
          <w:sz w:val="68"/>
          <w:szCs w:val="68"/>
        </w:rPr>
      </w:pPr>
      <w:r w:rsidRPr="00250410">
        <w:rPr>
          <w:b w:val="0"/>
          <w:bCs w:val="0"/>
          <w:noProof/>
          <w:sz w:val="68"/>
          <w:szCs w:val="68"/>
        </w:rPr>
        <mc:AlternateContent>
          <mc:Choice Requires="wps">
            <w:drawing>
              <wp:anchor distT="0" distB="0" distL="114300" distR="114300" simplePos="0" relativeHeight="251660800" behindDoc="0" locked="0" layoutInCell="1" allowOverlap="1" wp14:anchorId="30A82C34" wp14:editId="3917CCBF">
                <wp:simplePos x="0" y="0"/>
                <wp:positionH relativeFrom="column">
                  <wp:posOffset>-293370</wp:posOffset>
                </wp:positionH>
                <wp:positionV relativeFrom="paragraph">
                  <wp:posOffset>3175</wp:posOffset>
                </wp:positionV>
                <wp:extent cx="573405" cy="1690370"/>
                <wp:effectExtent l="0" t="0" r="17145" b="24130"/>
                <wp:wrapNone/>
                <wp:docPr id="547159628" name="Text Box 1"/>
                <wp:cNvGraphicFramePr/>
                <a:graphic xmlns:a="http://schemas.openxmlformats.org/drawingml/2006/main">
                  <a:graphicData uri="http://schemas.microsoft.com/office/word/2010/wordprocessingShape">
                    <wps:wsp>
                      <wps:cNvSpPr txBox="1"/>
                      <wps:spPr>
                        <a:xfrm>
                          <a:off x="0" y="0"/>
                          <a:ext cx="573405" cy="1690370"/>
                        </a:xfrm>
                        <a:prstGeom prst="rect">
                          <a:avLst/>
                        </a:prstGeom>
                        <a:solidFill>
                          <a:srgbClr val="00B0F0"/>
                        </a:solidFill>
                        <a:ln w="6350">
                          <a:solidFill>
                            <a:prstClr val="black"/>
                          </a:solidFill>
                        </a:ln>
                      </wps:spPr>
                      <wps:txbx>
                        <w:txbxContent>
                          <w:p w14:paraId="1EE2FDB9" w14:textId="77777777" w:rsidR="003C57A6" w:rsidRDefault="003C57A6" w:rsidP="003C57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82C34" id="_x0000_t202" coordsize="21600,21600" o:spt="202" path="m,l,21600r21600,l21600,xe">
                <v:stroke joinstyle="miter"/>
                <v:path gradientshapeok="t" o:connecttype="rect"/>
              </v:shapetype>
              <v:shape id="Text Box 1" o:spid="_x0000_s1026" type="#_x0000_t202" style="position:absolute;left:0;text-align:left;margin-left:-23.1pt;margin-top:.25pt;width:45.15pt;height:13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" fillcolor="#00b0f0" strokeweight=".5pt">
                <v:textbox>
                  <w:txbxContent>
                    <w:p w14:paraId="1EE2FDB9" w14:textId="77777777" w:rsidR="003C57A6" w:rsidRDefault="003C57A6" w:rsidP="003C57A6"/>
                  </w:txbxContent>
                </v:textbox>
              </v:shape>
            </w:pict>
          </mc:Fallback>
        </mc:AlternateContent>
      </w:r>
      <w:r w:rsidR="00C43C53" w:rsidRPr="00250410">
        <w:rPr>
          <w:b w:val="0"/>
          <w:bCs w:val="0"/>
          <w:noProof/>
        </w:rPr>
        <w:drawing>
          <wp:anchor distT="0" distB="0" distL="114300" distR="114300" simplePos="0" relativeHeight="251657728" behindDoc="0" locked="0" layoutInCell="1" allowOverlap="1" wp14:anchorId="078BCEA6" wp14:editId="6AF43778">
            <wp:simplePos x="0" y="0"/>
            <wp:positionH relativeFrom="margin">
              <wp:align>left</wp:align>
            </wp:positionH>
            <wp:positionV relativeFrom="paragraph">
              <wp:posOffset>-6937375</wp:posOffset>
            </wp:positionV>
            <wp:extent cx="5753100" cy="1733550"/>
            <wp:effectExtent l="0" t="0" r="0" b="0"/>
            <wp:wrapNone/>
            <wp:docPr id="1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C57A6" w:rsidRPr="00250410">
        <w:rPr>
          <w:b w:val="0"/>
          <w:bCs w:val="0"/>
          <w:sz w:val="68"/>
          <w:szCs w:val="68"/>
        </w:rPr>
        <w:t>Strategic Review</w:t>
      </w:r>
    </w:p>
    <w:p w14:paraId="126F7A46" w14:textId="77777777" w:rsidR="003C57A6" w:rsidRPr="00250410" w:rsidRDefault="003C57A6" w:rsidP="0053325F">
      <w:pPr>
        <w:pStyle w:val="Heading1"/>
        <w:pBdr>
          <w:top w:val="dotted" w:sz="4" w:space="2" w:color="auto"/>
          <w:left w:val="dotted" w:sz="4" w:space="17" w:color="auto"/>
          <w:bottom w:val="dotted" w:sz="4" w:space="2" w:color="auto"/>
          <w:right w:val="dotted" w:sz="4" w:space="17" w:color="auto"/>
          <w:between w:val="dotted" w:sz="4" w:space="2" w:color="auto"/>
          <w:bar w:val="dotted" w:sz="4" w:color="auto"/>
        </w:pBdr>
        <w:ind w:left="720"/>
        <w:jc w:val="left"/>
        <w:rPr>
          <w:b w:val="0"/>
          <w:bCs w:val="0"/>
          <w:sz w:val="68"/>
          <w:szCs w:val="68"/>
        </w:rPr>
      </w:pPr>
      <w:r w:rsidRPr="00250410">
        <w:rPr>
          <w:b w:val="0"/>
          <w:bCs w:val="0"/>
          <w:sz w:val="68"/>
          <w:szCs w:val="68"/>
        </w:rPr>
        <w:t>Consultation Document</w:t>
      </w:r>
    </w:p>
    <w:p w14:paraId="59B28514" w14:textId="77777777" w:rsidR="003C57A6" w:rsidRPr="001C4110" w:rsidRDefault="003C57A6" w:rsidP="003C57A6">
      <w:pPr>
        <w:pStyle w:val="Subtitle"/>
        <w:framePr w:wrap="auto" w:vAnchor="margin" w:yAlign="inline"/>
        <w:pBdr>
          <w:top w:val="dotted" w:sz="4" w:space="2" w:color="auto"/>
          <w:left w:val="dotted" w:sz="4" w:space="17" w:color="auto"/>
          <w:bottom w:val="dotted" w:sz="4" w:space="2" w:color="auto"/>
          <w:right w:val="dotted" w:sz="4" w:space="17" w:color="auto"/>
          <w:between w:val="dotted" w:sz="4" w:space="2" w:color="auto"/>
          <w:bar w:val="dotted" w:sz="4" w:color="auto"/>
        </w:pBdr>
        <w:ind w:firstLine="720"/>
        <w:rPr>
          <w:sz w:val="44"/>
          <w:szCs w:val="44"/>
        </w:rPr>
      </w:pPr>
      <w:r w:rsidRPr="001C4110">
        <w:rPr>
          <w:sz w:val="44"/>
          <w:szCs w:val="44"/>
        </w:rPr>
        <w:t>August 2024</w:t>
      </w:r>
    </w:p>
    <w:p w14:paraId="17A2B905" w14:textId="77777777" w:rsidR="00C43C53" w:rsidRDefault="00C43C53">
      <w:pPr>
        <w:sectPr w:rsidR="00C43C53" w:rsidSect="00514D29">
          <w:headerReference w:type="default" r:id="rId10"/>
          <w:headerReference w:type="first" r:id="rId11"/>
          <w:pgSz w:w="11906" w:h="16838" w:code="9"/>
          <w:pgMar w:top="1440" w:right="1440" w:bottom="1440" w:left="1440" w:header="340" w:footer="680" w:gutter="0"/>
          <w:pgBorders w:display="firstPage" w:offsetFrom="page">
            <w:left w:val="single" w:sz="4" w:space="24" w:color="auto"/>
            <w:right w:val="single" w:sz="4" w:space="24" w:color="auto"/>
          </w:pgBorders>
          <w:cols w:space="708"/>
          <w:vAlign w:val="bottom"/>
          <w:titlePg/>
          <w:docGrid w:linePitch="360"/>
        </w:sectPr>
      </w:pPr>
    </w:p>
    <w:p w14:paraId="3E6B4C7E" w14:textId="77777777" w:rsidR="00BE77DC" w:rsidRPr="006A0829" w:rsidRDefault="009F61E5" w:rsidP="006A0829">
      <w:pPr>
        <w:pStyle w:val="StyleHeading2CustomColorRGB38146217"/>
        <w:rPr>
          <w:rFonts w:eastAsia="Calibri"/>
        </w:rPr>
      </w:pPr>
      <w:r w:rsidRPr="006A0829">
        <w:rPr>
          <w:rFonts w:eastAsia="Calibri"/>
        </w:rPr>
        <w:lastRenderedPageBreak/>
        <w:t>Introduction</w:t>
      </w:r>
    </w:p>
    <w:p w14:paraId="10C39895" w14:textId="53F5DD4B" w:rsidR="00BE77DC" w:rsidRPr="00E31925" w:rsidRDefault="00BE77DC" w:rsidP="00E31925">
      <w:pPr>
        <w:pStyle w:val="BodyText"/>
        <w:rPr>
          <w:rFonts w:eastAsia="Calibri"/>
        </w:rPr>
      </w:pPr>
      <w:r w:rsidRPr="00BE77DC">
        <w:rPr>
          <w:rFonts w:eastAsia="Calibri"/>
        </w:rPr>
        <w:t xml:space="preserve">NILGOSC is the administering body for the Local Government Pension Scheme (LGPS) in Northern Ireland. </w:t>
      </w:r>
      <w:r w:rsidR="00970917">
        <w:rPr>
          <w:rFonts w:eastAsia="Calibri"/>
        </w:rPr>
        <w:t>Its</w:t>
      </w:r>
      <w:r w:rsidRPr="00BE77DC">
        <w:rPr>
          <w:rFonts w:eastAsia="Calibri"/>
        </w:rPr>
        <w:t xml:space="preserve"> role is primarily to administer the LGPS Regulations, both in terms of pension scheme administration, including the calculation and payment of benefits, and management of the investment </w:t>
      </w:r>
      <w:r w:rsidR="00970917">
        <w:rPr>
          <w:rFonts w:eastAsia="Calibri"/>
        </w:rPr>
        <w:t>f</w:t>
      </w:r>
      <w:r w:rsidRPr="00BE77DC">
        <w:rPr>
          <w:rFonts w:eastAsia="Calibri"/>
        </w:rPr>
        <w:t xml:space="preserve">und. The Regulations are made by the Department </w:t>
      </w:r>
      <w:r w:rsidR="00435E62">
        <w:rPr>
          <w:rFonts w:eastAsia="Calibri"/>
        </w:rPr>
        <w:t>for Communities</w:t>
      </w:r>
      <w:r w:rsidRPr="00BE77DC">
        <w:rPr>
          <w:rFonts w:eastAsia="Calibri"/>
        </w:rPr>
        <w:t xml:space="preserve"> and, while NILGOSC respond</w:t>
      </w:r>
      <w:r w:rsidR="00444953">
        <w:rPr>
          <w:rFonts w:eastAsia="Calibri"/>
        </w:rPr>
        <w:t>s</w:t>
      </w:r>
      <w:r w:rsidRPr="00BE77DC">
        <w:rPr>
          <w:rFonts w:eastAsia="Calibri"/>
        </w:rPr>
        <w:t xml:space="preserve"> actively to </w:t>
      </w:r>
      <w:r w:rsidR="00444953">
        <w:rPr>
          <w:rFonts w:eastAsia="Calibri"/>
        </w:rPr>
        <w:t>any</w:t>
      </w:r>
      <w:r w:rsidRPr="00BE77DC">
        <w:rPr>
          <w:rFonts w:eastAsia="Calibri"/>
        </w:rPr>
        <w:t xml:space="preserve"> consultation process, it does not have any power to change the regulations or determine their content. In this respect, </w:t>
      </w:r>
      <w:r w:rsidR="00970917">
        <w:rPr>
          <w:rFonts w:eastAsia="Calibri"/>
        </w:rPr>
        <w:t>NILGOSC’s</w:t>
      </w:r>
      <w:r w:rsidRPr="00BE77DC">
        <w:rPr>
          <w:rFonts w:eastAsia="Calibri"/>
        </w:rPr>
        <w:t xml:space="preserve"> role is relatively </w:t>
      </w:r>
      <w:r w:rsidR="00435E62" w:rsidRPr="00BE77DC">
        <w:rPr>
          <w:rFonts w:eastAsia="Calibri"/>
        </w:rPr>
        <w:t>constrained</w:t>
      </w:r>
      <w:r w:rsidRPr="00BE77DC">
        <w:rPr>
          <w:rFonts w:eastAsia="Calibri"/>
        </w:rPr>
        <w:t xml:space="preserve"> with </w:t>
      </w:r>
      <w:r w:rsidR="00970917">
        <w:rPr>
          <w:rFonts w:eastAsia="Calibri"/>
        </w:rPr>
        <w:t>its</w:t>
      </w:r>
      <w:r w:rsidRPr="00BE77DC">
        <w:rPr>
          <w:rFonts w:eastAsia="Calibri"/>
        </w:rPr>
        <w:t xml:space="preserve"> function being to deliver a pension service to scheme members and employing authorities</w:t>
      </w:r>
      <w:r w:rsidR="00435E62">
        <w:rPr>
          <w:rFonts w:eastAsia="Calibri"/>
        </w:rPr>
        <w:t xml:space="preserve"> in accordance with the regulations</w:t>
      </w:r>
      <w:r w:rsidRPr="00BE77DC">
        <w:rPr>
          <w:rFonts w:eastAsia="Calibri"/>
        </w:rPr>
        <w:t xml:space="preserve">. Within this narrowly defined function, </w:t>
      </w:r>
      <w:r w:rsidR="00970917">
        <w:rPr>
          <w:rFonts w:eastAsia="Calibri"/>
        </w:rPr>
        <w:t>the</w:t>
      </w:r>
      <w:r w:rsidRPr="00BE77DC">
        <w:rPr>
          <w:rFonts w:eastAsia="Calibri"/>
        </w:rPr>
        <w:t xml:space="preserve"> focus continues to be on providing a </w:t>
      </w:r>
      <w:r w:rsidR="00982F39" w:rsidRPr="00BE77DC">
        <w:rPr>
          <w:rFonts w:eastAsia="Calibri"/>
        </w:rPr>
        <w:t>high</w:t>
      </w:r>
      <w:r w:rsidR="009F2DFF">
        <w:rPr>
          <w:rFonts w:eastAsia="Calibri"/>
        </w:rPr>
        <w:t>-</w:t>
      </w:r>
      <w:r w:rsidR="00982F39" w:rsidRPr="00BE77DC">
        <w:rPr>
          <w:rFonts w:eastAsia="Calibri"/>
        </w:rPr>
        <w:t>quality</w:t>
      </w:r>
      <w:r w:rsidRPr="00BE77DC">
        <w:rPr>
          <w:rFonts w:eastAsia="Calibri"/>
        </w:rPr>
        <w:t xml:space="preserve"> service to all stakeholders, in line with continually evolving expectations.</w:t>
      </w:r>
    </w:p>
    <w:p w14:paraId="49DB51BA" w14:textId="229F275E" w:rsidR="004374BF" w:rsidRPr="00E31925" w:rsidRDefault="00BE77DC" w:rsidP="00E31925">
      <w:pPr>
        <w:pStyle w:val="BodyText"/>
        <w:rPr>
          <w:rFonts w:eastAsia="Calibri"/>
          <w:sz w:val="20"/>
          <w:szCs w:val="20"/>
        </w:rPr>
      </w:pPr>
      <w:r w:rsidRPr="007A0411">
        <w:rPr>
          <w:rFonts w:eastAsia="Calibri"/>
        </w:rPr>
        <w:t>Like most organisations, NILGOSC has established a strategic planning process which allows it to identify and achieve its long</w:t>
      </w:r>
      <w:r w:rsidR="007A0411">
        <w:rPr>
          <w:rFonts w:eastAsia="Calibri"/>
        </w:rPr>
        <w:t>-</w:t>
      </w:r>
      <w:r w:rsidRPr="007A0411">
        <w:rPr>
          <w:rFonts w:eastAsia="Calibri"/>
        </w:rPr>
        <w:t>term strategic objectives. A key part of this process is the triennial strategic review, during which the organisation’s vision, mission, values and strategic aims are subjected to a thorough review and stakeholder consultation to ensure that they remain relevant and reflective of the current operating environment. In the intervening period between strategic reviews, NILGOSC reviews and updates its operational business plans annually to help plan resources and measure performance</w:t>
      </w:r>
      <w:r w:rsidRPr="00BE77DC">
        <w:rPr>
          <w:rFonts w:eastAsia="Calibri"/>
          <w:sz w:val="20"/>
          <w:szCs w:val="20"/>
        </w:rPr>
        <w:t>.</w:t>
      </w:r>
    </w:p>
    <w:p w14:paraId="5B4C1C97" w14:textId="47AE6735" w:rsidR="00BE77DC" w:rsidRPr="00E31925" w:rsidRDefault="004374BF" w:rsidP="00E31925">
      <w:pPr>
        <w:pStyle w:val="StyleHeading2CustomColorRGB38146217"/>
        <w:rPr>
          <w:rFonts w:eastAsia="Calibri"/>
        </w:rPr>
      </w:pPr>
      <w:r w:rsidRPr="006A0829">
        <w:rPr>
          <w:rFonts w:eastAsia="Calibri"/>
        </w:rPr>
        <w:t xml:space="preserve">Why </w:t>
      </w:r>
      <w:r w:rsidR="009F61E5" w:rsidRPr="006A0829">
        <w:rPr>
          <w:rFonts w:eastAsia="Calibri"/>
        </w:rPr>
        <w:t>we are</w:t>
      </w:r>
      <w:r w:rsidR="00DA40B7" w:rsidRPr="006A0829">
        <w:rPr>
          <w:rFonts w:eastAsia="Calibri"/>
        </w:rPr>
        <w:t xml:space="preserve"> </w:t>
      </w:r>
      <w:r w:rsidR="000F4E66" w:rsidRPr="006A0829">
        <w:rPr>
          <w:rFonts w:eastAsia="Calibri"/>
        </w:rPr>
        <w:t>c</w:t>
      </w:r>
      <w:r w:rsidRPr="006A0829">
        <w:rPr>
          <w:rFonts w:eastAsia="Calibri"/>
        </w:rPr>
        <w:t>onsulting</w:t>
      </w:r>
    </w:p>
    <w:p w14:paraId="02382270" w14:textId="5C92AFC6" w:rsidR="004374BF" w:rsidRDefault="00BE77DC" w:rsidP="00E31925">
      <w:pPr>
        <w:pStyle w:val="BodyText"/>
        <w:rPr>
          <w:rFonts w:eastAsia="Calibri"/>
        </w:rPr>
      </w:pPr>
      <w:r w:rsidRPr="00BE77DC">
        <w:rPr>
          <w:rFonts w:eastAsia="Calibri"/>
        </w:rPr>
        <w:t xml:space="preserve">NILGOSC </w:t>
      </w:r>
      <w:r w:rsidR="00435E62">
        <w:rPr>
          <w:rFonts w:eastAsia="Calibri"/>
        </w:rPr>
        <w:t>commenced</w:t>
      </w:r>
      <w:r w:rsidRPr="00BE77DC">
        <w:rPr>
          <w:rFonts w:eastAsia="Calibri"/>
        </w:rPr>
        <w:t xml:space="preserve"> its latest strategic review </w:t>
      </w:r>
      <w:r w:rsidR="00435E62">
        <w:rPr>
          <w:rFonts w:eastAsia="Calibri"/>
        </w:rPr>
        <w:t>with</w:t>
      </w:r>
      <w:r w:rsidRPr="00BE77DC">
        <w:rPr>
          <w:rFonts w:eastAsia="Calibri"/>
        </w:rPr>
        <w:t xml:space="preserve"> </w:t>
      </w:r>
      <w:r w:rsidR="00435E62">
        <w:rPr>
          <w:rFonts w:eastAsia="Calibri"/>
        </w:rPr>
        <w:t xml:space="preserve">a strategic planning workshop held on </w:t>
      </w:r>
      <w:r w:rsidR="00982F39">
        <w:rPr>
          <w:rFonts w:eastAsia="Calibri"/>
        </w:rPr>
        <w:t>2</w:t>
      </w:r>
      <w:r w:rsidR="00237A0B">
        <w:rPr>
          <w:rFonts w:eastAsia="Calibri"/>
        </w:rPr>
        <w:t>2</w:t>
      </w:r>
      <w:r w:rsidR="00435E62">
        <w:rPr>
          <w:rFonts w:eastAsia="Calibri"/>
        </w:rPr>
        <w:t xml:space="preserve"> </w:t>
      </w:r>
      <w:r w:rsidR="00982F39">
        <w:rPr>
          <w:rFonts w:eastAsia="Calibri"/>
        </w:rPr>
        <w:t>May</w:t>
      </w:r>
      <w:r w:rsidR="00435E62">
        <w:rPr>
          <w:rFonts w:eastAsia="Calibri"/>
        </w:rPr>
        <w:t xml:space="preserve"> 20</w:t>
      </w:r>
      <w:r w:rsidR="00982F39">
        <w:rPr>
          <w:rFonts w:eastAsia="Calibri"/>
        </w:rPr>
        <w:t>2</w:t>
      </w:r>
      <w:r w:rsidR="00237A0B">
        <w:rPr>
          <w:rFonts w:eastAsia="Calibri"/>
        </w:rPr>
        <w:t>4</w:t>
      </w:r>
      <w:r w:rsidR="00435E62">
        <w:rPr>
          <w:rFonts w:eastAsia="Calibri"/>
        </w:rPr>
        <w:t xml:space="preserve">. This workshop provided the Management Committee with an opportunity to </w:t>
      </w:r>
      <w:r w:rsidR="00435E62" w:rsidRPr="00BE77DC">
        <w:rPr>
          <w:rFonts w:eastAsia="Calibri"/>
        </w:rPr>
        <w:t>assess the current operating environment</w:t>
      </w:r>
      <w:r w:rsidR="00435E62">
        <w:rPr>
          <w:rFonts w:eastAsia="Calibri"/>
        </w:rPr>
        <w:t xml:space="preserve"> and to inform the strategic direction of the organisation for the next three years. A</w:t>
      </w:r>
      <w:r w:rsidRPr="00BE77DC">
        <w:rPr>
          <w:rFonts w:eastAsia="Calibri"/>
        </w:rPr>
        <w:t xml:space="preserve"> Stakeholder Analysis was </w:t>
      </w:r>
      <w:r w:rsidR="00982F39">
        <w:rPr>
          <w:rFonts w:eastAsia="Calibri"/>
        </w:rPr>
        <w:t>completed</w:t>
      </w:r>
      <w:r w:rsidRPr="00BE77DC">
        <w:rPr>
          <w:rFonts w:eastAsia="Calibri"/>
        </w:rPr>
        <w:t xml:space="preserve"> to identify current stakeholders and their needs and expectations</w:t>
      </w:r>
      <w:r w:rsidR="00435E62">
        <w:rPr>
          <w:rFonts w:eastAsia="Calibri"/>
        </w:rPr>
        <w:t xml:space="preserve"> while</w:t>
      </w:r>
      <w:r w:rsidRPr="00BE77DC">
        <w:rPr>
          <w:rFonts w:eastAsia="Calibri"/>
        </w:rPr>
        <w:t xml:space="preserve"> </w:t>
      </w:r>
      <w:r w:rsidR="00435E62">
        <w:rPr>
          <w:rFonts w:eastAsia="Calibri"/>
        </w:rPr>
        <w:t>a</w:t>
      </w:r>
      <w:r w:rsidRPr="00BE77DC">
        <w:rPr>
          <w:rFonts w:eastAsia="Calibri"/>
        </w:rPr>
        <w:t xml:space="preserve"> SWOT analysis was </w:t>
      </w:r>
      <w:r w:rsidRPr="00BE77DC">
        <w:rPr>
          <w:rFonts w:eastAsia="Calibri"/>
        </w:rPr>
        <w:lastRenderedPageBreak/>
        <w:t xml:space="preserve">also undertaken to identify and examine NILGOSC’s strengths and weaknesses, opportunities and threats. The output from this analysis formed the basis </w:t>
      </w:r>
      <w:r w:rsidR="004374BF">
        <w:rPr>
          <w:rFonts w:eastAsia="Calibri"/>
        </w:rPr>
        <w:t>of the strategic framework set out in this document, which will drive service delivery over the next three years.</w:t>
      </w:r>
    </w:p>
    <w:p w14:paraId="437FAE93" w14:textId="75B858BE" w:rsidR="000F4E66" w:rsidRPr="00E31925" w:rsidRDefault="004374BF" w:rsidP="00E31925">
      <w:pPr>
        <w:pStyle w:val="BodyText"/>
        <w:rPr>
          <w:rFonts w:eastAsia="Calibri"/>
        </w:rPr>
      </w:pPr>
      <w:r>
        <w:rPr>
          <w:rFonts w:eastAsia="Calibri"/>
        </w:rPr>
        <w:t xml:space="preserve">As a key stakeholder, NILGOSC is seeking your views on its </w:t>
      </w:r>
      <w:r w:rsidR="00BE77DC" w:rsidRPr="00BE77DC">
        <w:rPr>
          <w:rFonts w:eastAsia="Calibri"/>
        </w:rPr>
        <w:t>Vision, Mission, Values and Strategic Aims and Objectives</w:t>
      </w:r>
      <w:r>
        <w:rPr>
          <w:rFonts w:eastAsia="Calibri"/>
        </w:rPr>
        <w:t>.</w:t>
      </w:r>
    </w:p>
    <w:p w14:paraId="145925C8" w14:textId="77777777" w:rsidR="000F4E66" w:rsidRPr="006A598C" w:rsidRDefault="000F4E66" w:rsidP="006A598C">
      <w:pPr>
        <w:pStyle w:val="StyleHeading2CustomColorRGB38146217"/>
        <w:rPr>
          <w:rFonts w:eastAsia="Calibri"/>
        </w:rPr>
      </w:pPr>
      <w:r w:rsidRPr="006A598C">
        <w:rPr>
          <w:rFonts w:eastAsia="Calibri"/>
        </w:rPr>
        <w:t xml:space="preserve">How you can contribute </w:t>
      </w:r>
    </w:p>
    <w:p w14:paraId="6601E725" w14:textId="46539A54" w:rsidR="00C1685A" w:rsidRPr="00DB22C0" w:rsidRDefault="00DA40B7" w:rsidP="00DB22C0">
      <w:pPr>
        <w:pStyle w:val="BodyText"/>
        <w:rPr>
          <w:rFonts w:eastAsia="Calibri"/>
        </w:rPr>
      </w:pPr>
      <w:r>
        <w:rPr>
          <w:rFonts w:eastAsia="Calibri"/>
        </w:rPr>
        <w:t xml:space="preserve">NILGOSC welcomes views on its strategic framework and this consultation sets out a series of questions </w:t>
      </w:r>
      <w:r w:rsidR="00C1685A">
        <w:rPr>
          <w:rFonts w:eastAsia="Calibri"/>
        </w:rPr>
        <w:t>on each of the strategic components. You can respond to these specific questions or free-form responses are also welcome. Please tell us who you are or which group or organis</w:t>
      </w:r>
      <w:r w:rsidR="00444953">
        <w:rPr>
          <w:rFonts w:eastAsia="Calibri"/>
        </w:rPr>
        <w:t>ation</w:t>
      </w:r>
      <w:r w:rsidR="00C1685A">
        <w:rPr>
          <w:rFonts w:eastAsia="Calibri"/>
        </w:rPr>
        <w:t xml:space="preserve"> you are representing in order that we can better understand the context of your response.</w:t>
      </w:r>
    </w:p>
    <w:p w14:paraId="088AB542" w14:textId="42EEBBE6" w:rsidR="00C1685A" w:rsidRPr="00DB22C0" w:rsidRDefault="00C1685A" w:rsidP="00DB22C0">
      <w:pPr>
        <w:pStyle w:val="BodyText"/>
      </w:pPr>
      <w:r w:rsidRPr="00C1685A">
        <w:t xml:space="preserve">The consultation is open for </w:t>
      </w:r>
      <w:r w:rsidR="00237A0B">
        <w:t>8</w:t>
      </w:r>
      <w:r w:rsidRPr="00C1685A">
        <w:t xml:space="preserve"> weeks and any comments should be submitted prior to </w:t>
      </w:r>
      <w:r>
        <w:t xml:space="preserve">the </w:t>
      </w:r>
      <w:r w:rsidRPr="00C1685A">
        <w:rPr>
          <w:b/>
          <w:bCs/>
        </w:rPr>
        <w:t xml:space="preserve">closing date of </w:t>
      </w:r>
      <w:r w:rsidR="000E51F6" w:rsidRPr="000E51F6">
        <w:rPr>
          <w:b/>
          <w:bCs/>
        </w:rPr>
        <w:t>1 November</w:t>
      </w:r>
      <w:r w:rsidRPr="000E51F6">
        <w:rPr>
          <w:b/>
          <w:bCs/>
        </w:rPr>
        <w:t xml:space="preserve"> 202</w:t>
      </w:r>
      <w:r w:rsidR="00237A0B" w:rsidRPr="000E51F6">
        <w:rPr>
          <w:b/>
          <w:bCs/>
        </w:rPr>
        <w:t>4</w:t>
      </w:r>
      <w:r w:rsidRPr="000E51F6">
        <w:t>.</w:t>
      </w:r>
      <w:r w:rsidRPr="00C1685A">
        <w:t xml:space="preserve"> You may write to us using the details </w:t>
      </w:r>
      <w:r>
        <w:t>below</w:t>
      </w:r>
      <w:r w:rsidRPr="00C1685A">
        <w:t xml:space="preserve"> or via email at </w:t>
      </w:r>
      <w:r w:rsidR="00444953" w:rsidRPr="009B2F79">
        <w:rPr>
          <w:rStyle w:val="Hyperlink"/>
        </w:rPr>
        <w:t>governance</w:t>
      </w:r>
      <w:r w:rsidRPr="009B2F79">
        <w:rPr>
          <w:rStyle w:val="Hyperlink"/>
        </w:rPr>
        <w:t>@nilgosc.org.uk</w:t>
      </w:r>
      <w:r w:rsidRPr="00C1685A">
        <w:t>. We look forward to hearing from you.</w:t>
      </w:r>
    </w:p>
    <w:p w14:paraId="4C584B44" w14:textId="77777777" w:rsidR="00C1685A" w:rsidRPr="00C1685A" w:rsidRDefault="00C1685A" w:rsidP="009F2DFF">
      <w:pPr>
        <w:pStyle w:val="BodyText"/>
      </w:pPr>
      <w:r w:rsidRPr="00C1685A">
        <w:t xml:space="preserve">The consultation documents can be made available in alternative formats such as large print, computer disk, Braille, audio tape and languages other than English. If you would like the document in an alternative </w:t>
      </w:r>
      <w:proofErr w:type="gramStart"/>
      <w:r w:rsidRPr="00C1685A">
        <w:t>format</w:t>
      </w:r>
      <w:proofErr w:type="gramEnd"/>
      <w:r w:rsidRPr="00C1685A">
        <w:t xml:space="preserve"> please contact the Equality Officer using the details below:</w:t>
      </w:r>
    </w:p>
    <w:p w14:paraId="72A2D731" w14:textId="2F5DA292" w:rsidR="00C1685A" w:rsidRPr="00C1685A" w:rsidRDefault="00C1685A" w:rsidP="005C5130">
      <w:pPr>
        <w:pStyle w:val="List"/>
      </w:pPr>
      <w:r w:rsidRPr="00C1685A">
        <w:t>Post:</w:t>
      </w:r>
      <w:r w:rsidR="00F11489">
        <w:tab/>
      </w:r>
      <w:r w:rsidRPr="00C1685A">
        <w:t xml:space="preserve">Templeton House, 411 </w:t>
      </w:r>
      <w:proofErr w:type="spellStart"/>
      <w:r w:rsidRPr="00C1685A">
        <w:t>Holywood</w:t>
      </w:r>
      <w:proofErr w:type="spellEnd"/>
      <w:r w:rsidRPr="00C1685A">
        <w:t xml:space="preserve"> Road, Belfast BT4 2LP</w:t>
      </w:r>
    </w:p>
    <w:p w14:paraId="6C267240" w14:textId="36328FB5" w:rsidR="00C1685A" w:rsidRPr="00C1685A" w:rsidRDefault="00C1685A" w:rsidP="005C5130">
      <w:pPr>
        <w:pStyle w:val="List"/>
      </w:pPr>
      <w:r w:rsidRPr="00C1685A">
        <w:t>Telephone:</w:t>
      </w:r>
      <w:r w:rsidR="00F11489">
        <w:tab/>
      </w:r>
      <w:r w:rsidRPr="00C1685A">
        <w:t>(0345) 319 7320</w:t>
      </w:r>
    </w:p>
    <w:p w14:paraId="19FA0068" w14:textId="4CBFF655" w:rsidR="00C1685A" w:rsidRPr="00C1685A" w:rsidRDefault="00C1685A" w:rsidP="005C5130">
      <w:pPr>
        <w:pStyle w:val="List"/>
      </w:pPr>
      <w:r w:rsidRPr="00C1685A">
        <w:t>Fax:</w:t>
      </w:r>
      <w:r w:rsidR="00F11489">
        <w:tab/>
      </w:r>
      <w:r w:rsidRPr="00C1685A">
        <w:t>(0345) 319 7321</w:t>
      </w:r>
    </w:p>
    <w:p w14:paraId="26EE52B3" w14:textId="7B5A0413" w:rsidR="00C1685A" w:rsidRPr="00C1685A" w:rsidRDefault="00C1685A" w:rsidP="005C5130">
      <w:pPr>
        <w:pStyle w:val="List"/>
      </w:pPr>
      <w:proofErr w:type="spellStart"/>
      <w:r w:rsidRPr="00C1685A">
        <w:t>Typetalk</w:t>
      </w:r>
      <w:proofErr w:type="spellEnd"/>
      <w:r w:rsidRPr="00C1685A">
        <w:t>:</w:t>
      </w:r>
      <w:r w:rsidR="00F11489">
        <w:tab/>
      </w:r>
      <w:r w:rsidRPr="00C1685A">
        <w:t>18001 0345 319 7320</w:t>
      </w:r>
    </w:p>
    <w:p w14:paraId="5B05B370" w14:textId="44965D51" w:rsidR="009C61EC" w:rsidRDefault="00C1685A" w:rsidP="005C5130">
      <w:pPr>
        <w:pStyle w:val="List"/>
        <w:rPr>
          <w:rStyle w:val="Hyperlink"/>
        </w:rPr>
      </w:pPr>
      <w:r w:rsidRPr="00C1685A">
        <w:t xml:space="preserve">Email: </w:t>
      </w:r>
      <w:r w:rsidR="00F11489">
        <w:tab/>
      </w:r>
      <w:hyperlink r:id="rId12" w:history="1">
        <w:r w:rsidR="00F11489" w:rsidRPr="00486C59">
          <w:rPr>
            <w:rStyle w:val="Hyperlink"/>
          </w:rPr>
          <w:t>equality@nilgosc.org.uk</w:t>
        </w:r>
      </w:hyperlink>
    </w:p>
    <w:p w14:paraId="5786C870" w14:textId="77777777" w:rsidR="009C61EC" w:rsidRDefault="009C61EC">
      <w:pPr>
        <w:rPr>
          <w:rStyle w:val="Hyperlink"/>
          <w:rFonts w:ascii="Verdana" w:hAnsi="Verdana"/>
        </w:rPr>
      </w:pPr>
      <w:r>
        <w:rPr>
          <w:rStyle w:val="Hyperlink"/>
        </w:rPr>
        <w:br w:type="page"/>
      </w:r>
    </w:p>
    <w:p w14:paraId="14F32D52" w14:textId="743CA6E9" w:rsidR="00C1685A" w:rsidRPr="00DB22C0" w:rsidRDefault="00C1685A" w:rsidP="00DB22C0">
      <w:pPr>
        <w:pStyle w:val="BodyText"/>
      </w:pPr>
      <w:r w:rsidRPr="00C1685A">
        <w:lastRenderedPageBreak/>
        <w:t xml:space="preserve">NILGOSC will publish a summary of all responses received following completion of the consultation process. All responses to this consultation will be subject to the Freedom of Information Act 2000, which gives </w:t>
      </w:r>
      <w:r w:rsidR="00444953">
        <w:t xml:space="preserve">a </w:t>
      </w:r>
      <w:r w:rsidRPr="00C1685A">
        <w:t xml:space="preserve">right of access to </w:t>
      </w:r>
      <w:r w:rsidRPr="00444953">
        <w:t>information held by public authorities. Before you submit your response, please read Appendix 1 about the effect of the Freedom of Information Act 2000 on the confidentiality</w:t>
      </w:r>
      <w:r w:rsidRPr="00C1685A">
        <w:t xml:space="preserve"> of responses to public consultation exercises.</w:t>
      </w:r>
    </w:p>
    <w:p w14:paraId="6B61A175" w14:textId="544C5AA3" w:rsidR="0044224A" w:rsidRDefault="00C1685A" w:rsidP="0044224A">
      <w:pPr>
        <w:pStyle w:val="BodyText"/>
        <w:rPr>
          <w:sz w:val="20"/>
          <w:szCs w:val="20"/>
        </w:rPr>
      </w:pPr>
      <w:r w:rsidRPr="0044224A">
        <w:t>A screening exercise was undertaken on the draft Vision, Mission, Strategic Aims and Values to determine if an Equality Impact Assessment is necessary. The outcome of this screening exercise was not to conduct an Equality Impact Assessment an</w:t>
      </w:r>
      <w:r w:rsidR="002B3A4F">
        <w:t xml:space="preserve">d </w:t>
      </w:r>
      <w:r w:rsidR="000F1F9C">
        <w:t>the full screening report is available on request.</w:t>
      </w:r>
    </w:p>
    <w:p w14:paraId="5C3E5263" w14:textId="77777777" w:rsidR="0044224A" w:rsidRDefault="0044224A">
      <w:pPr>
        <w:rPr>
          <w:rFonts w:ascii="Verdana" w:hAnsi="Verdana"/>
          <w:spacing w:val="-3"/>
          <w:sz w:val="20"/>
          <w:szCs w:val="20"/>
          <w:lang w:eastAsia="en-GB"/>
        </w:rPr>
      </w:pPr>
      <w:r>
        <w:rPr>
          <w:sz w:val="20"/>
          <w:szCs w:val="20"/>
        </w:rPr>
        <w:br w:type="page"/>
      </w:r>
    </w:p>
    <w:p w14:paraId="7C5ECBAD" w14:textId="1D3619A9" w:rsidR="009F61E5" w:rsidRPr="00DB22C0" w:rsidRDefault="009F61E5" w:rsidP="00DB22C0">
      <w:pPr>
        <w:pStyle w:val="StyleHeading2CustomColorRGB38146217"/>
        <w:rPr>
          <w:rFonts w:eastAsia="Calibri"/>
        </w:rPr>
      </w:pPr>
      <w:r w:rsidRPr="00E61469">
        <w:rPr>
          <w:rFonts w:eastAsia="Calibri"/>
        </w:rPr>
        <w:lastRenderedPageBreak/>
        <w:t>Strategic Backdrop</w:t>
      </w:r>
    </w:p>
    <w:p w14:paraId="5825CF9A" w14:textId="7847FCFF" w:rsidR="009F61E5" w:rsidRPr="00DB22C0" w:rsidRDefault="00132358" w:rsidP="00DB22C0">
      <w:pPr>
        <w:pStyle w:val="BodyText"/>
        <w:rPr>
          <w:rFonts w:eastAsia="Calibri"/>
        </w:rPr>
      </w:pPr>
      <w:r>
        <w:rPr>
          <w:rFonts w:eastAsia="Calibri"/>
        </w:rPr>
        <w:t xml:space="preserve">NILGOSC has identified seven </w:t>
      </w:r>
      <w:r w:rsidR="009F61E5" w:rsidRPr="00BE77DC">
        <w:rPr>
          <w:rFonts w:eastAsia="Calibri"/>
        </w:rPr>
        <w:t>overarching themes and drivers</w:t>
      </w:r>
      <w:r>
        <w:rPr>
          <w:rFonts w:eastAsia="Calibri"/>
        </w:rPr>
        <w:t xml:space="preserve"> for its strategic planning and decision making</w:t>
      </w:r>
      <w:r w:rsidR="009F61E5" w:rsidRPr="00BE77DC">
        <w:rPr>
          <w:rFonts w:eastAsia="Calibri"/>
        </w:rPr>
        <w:t>. The</w:t>
      </w:r>
      <w:r>
        <w:rPr>
          <w:rFonts w:eastAsia="Calibri"/>
        </w:rPr>
        <w:t>se themes are displayed in the graphic below:</w:t>
      </w:r>
    </w:p>
    <w:p w14:paraId="7A58D60D" w14:textId="3768BF53" w:rsidR="009F61E5" w:rsidRPr="000C38CF" w:rsidRDefault="004E4C9B" w:rsidP="00D53E2F">
      <w:pPr>
        <w:jc w:val="center"/>
        <w:rPr>
          <w:rFonts w:ascii="Verdana" w:eastAsia="Calibri" w:hAnsi="Verdana"/>
          <w:color w:val="000000" w:themeColor="text1"/>
          <w:sz w:val="20"/>
          <w:szCs w:val="20"/>
          <w14:textOutline w14:w="28575" w14:cap="rnd" w14:cmpd="sng" w14:algn="ctr">
            <w14:noFill/>
            <w14:prstDash w14:val="solid"/>
            <w14:bevel/>
          </w14:textOutline>
        </w:rPr>
      </w:pPr>
      <w:r>
        <w:rPr>
          <w:noProof/>
        </w:rPr>
        <w:drawing>
          <wp:inline distT="0" distB="0" distL="0" distR="0" wp14:anchorId="4880A1C0" wp14:editId="235B085C">
            <wp:extent cx="6391671" cy="5011947"/>
            <wp:effectExtent l="0" t="0" r="0" b="0"/>
            <wp:docPr id="1373954815" name="Picture 1" descr="First theme is Engagement, to ensure existing and potential stakeholders are kept informed and satisfied. Second them is Innovation and Operational Excellence, which is striving for continuous improvement in service delivery. Third theme is Collaboration, involving working with key partners and providers to enhance offering and reduce costs. Fourth theme is Governance, to establish robust governance arrangements. Fifth them is People, to be a high performing and welcoming employer of choice. Sixth theme is Financial Sustainability, to maintain an adequate Fund to meet pension payments as they fall due. The seventh and final theme is Stewardship, to invest responsibly and encourage good corporate behavi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54815" name="Picture 1" descr="First theme is Engagement, to ensure existing and potential stakeholders are kept informed and satisfied. Second them is Innovation and Operational Excellence, which is striving for continuous improvement in service delivery. Third theme is Collaboration, involving working with key partners and providers to enhance offering and reduce costs. Fourth theme is Governance, to establish robust governance arrangements. Fifth them is People, to be a high performing and welcoming employer of choice. Sixth theme is Financial Sustainability, to maintain an adequate Fund to meet pension payments as they fall due. The seventh and final theme is Stewardship, to invest responsibly and encourage good corporate behaviour."/>
                    <pic:cNvPicPr/>
                  </pic:nvPicPr>
                  <pic:blipFill>
                    <a:blip r:embed="rId13">
                      <a:extLst>
                        <a:ext uri="{28A0092B-C50C-407E-A947-70E740481C1C}">
                          <a14:useLocalDpi xmlns:a14="http://schemas.microsoft.com/office/drawing/2010/main" val="0"/>
                        </a:ext>
                      </a:extLst>
                    </a:blip>
                    <a:stretch>
                      <a:fillRect/>
                    </a:stretch>
                  </pic:blipFill>
                  <pic:spPr>
                    <a:xfrm>
                      <a:off x="0" y="0"/>
                      <a:ext cx="6395564" cy="5014999"/>
                    </a:xfrm>
                    <a:prstGeom prst="rect">
                      <a:avLst/>
                    </a:prstGeom>
                  </pic:spPr>
                </pic:pic>
              </a:graphicData>
            </a:graphic>
          </wp:inline>
        </w:drawing>
      </w:r>
    </w:p>
    <w:p w14:paraId="77D23FA2" w14:textId="1F48AC06" w:rsidR="009F61E5" w:rsidRPr="00DB22C0" w:rsidRDefault="009F61E5" w:rsidP="00DB22C0">
      <w:pPr>
        <w:pStyle w:val="BodyText"/>
        <w:rPr>
          <w:rFonts w:eastAsia="Calibri"/>
        </w:rPr>
      </w:pPr>
      <w:r w:rsidRPr="00A03BD4">
        <w:rPr>
          <w:rFonts w:eastAsia="Calibri"/>
        </w:rPr>
        <w:t xml:space="preserve">As a pension scheme, a key part of NILGOSC’s strategic decision making relates to </w:t>
      </w:r>
      <w:r>
        <w:rPr>
          <w:rFonts w:eastAsia="Calibri"/>
        </w:rPr>
        <w:t>the Investment Strategy, which sets out how the Fund is invested. The overriding objective is</w:t>
      </w:r>
      <w:r w:rsidRPr="00A03BD4">
        <w:rPr>
          <w:rFonts w:eastAsia="Calibri"/>
        </w:rPr>
        <w:t xml:space="preserve"> to invest prudently </w:t>
      </w:r>
      <w:proofErr w:type="gramStart"/>
      <w:r>
        <w:rPr>
          <w:rFonts w:eastAsia="Calibri"/>
        </w:rPr>
        <w:t xml:space="preserve">so as </w:t>
      </w:r>
      <w:r w:rsidRPr="00A03BD4">
        <w:rPr>
          <w:rFonts w:eastAsia="Calibri"/>
        </w:rPr>
        <w:t>to</w:t>
      </w:r>
      <w:proofErr w:type="gramEnd"/>
      <w:r w:rsidRPr="00A03BD4">
        <w:rPr>
          <w:rFonts w:eastAsia="Calibri"/>
        </w:rPr>
        <w:t xml:space="preserve"> ensure that the benefits promised to members are provided and to provide reasonable stability in contribution rates for the employers</w:t>
      </w:r>
      <w:r>
        <w:rPr>
          <w:rFonts w:eastAsia="Calibri"/>
        </w:rPr>
        <w:t xml:space="preserve">. The Investment Strategy is long term in nature and takes </w:t>
      </w:r>
      <w:r w:rsidRPr="00A03BD4">
        <w:rPr>
          <w:rFonts w:eastAsia="Calibri"/>
        </w:rPr>
        <w:t xml:space="preserve">account </w:t>
      </w:r>
      <w:r>
        <w:rPr>
          <w:rFonts w:eastAsia="Calibri"/>
        </w:rPr>
        <w:t xml:space="preserve">of </w:t>
      </w:r>
      <w:r w:rsidRPr="00A03BD4">
        <w:rPr>
          <w:rFonts w:eastAsia="Calibri"/>
        </w:rPr>
        <w:t xml:space="preserve">the nature and timing of the Fund’s liabilities identified through the triennial actuarial valuation and its </w:t>
      </w:r>
      <w:r>
        <w:rPr>
          <w:rFonts w:eastAsia="Calibri"/>
        </w:rPr>
        <w:t xml:space="preserve">funding </w:t>
      </w:r>
      <w:r w:rsidRPr="00A03BD4">
        <w:rPr>
          <w:rFonts w:eastAsia="Calibri"/>
        </w:rPr>
        <w:t>objective.</w:t>
      </w:r>
      <w:r>
        <w:rPr>
          <w:rFonts w:eastAsia="Calibri"/>
        </w:rPr>
        <w:t xml:space="preserve"> </w:t>
      </w:r>
      <w:r w:rsidRPr="009F61E5">
        <w:rPr>
          <w:rFonts w:eastAsia="Calibri"/>
        </w:rPr>
        <w:t xml:space="preserve">NILGOSC’s current funding and cashflow position allows </w:t>
      </w:r>
      <w:r w:rsidRPr="009F61E5">
        <w:rPr>
          <w:rFonts w:eastAsia="Calibri"/>
        </w:rPr>
        <w:lastRenderedPageBreak/>
        <w:t xml:space="preserve">it to continue to pursue investment opportunities that generate an attractive rate of return within lower risk parameters. </w:t>
      </w:r>
      <w:r>
        <w:rPr>
          <w:rFonts w:eastAsia="Calibri"/>
        </w:rPr>
        <w:t xml:space="preserve">Given its significance, NILGOSC undertakes a separate formal review of its Investment Strategy every three years, </w:t>
      </w:r>
      <w:proofErr w:type="gramStart"/>
      <w:r>
        <w:rPr>
          <w:rFonts w:eastAsia="Calibri"/>
        </w:rPr>
        <w:t>taking into account</w:t>
      </w:r>
      <w:proofErr w:type="gramEnd"/>
      <w:r>
        <w:rPr>
          <w:rFonts w:eastAsia="Calibri"/>
        </w:rPr>
        <w:t xml:space="preserve"> the professional advice of its Investment Advisor and Scheme Actuary. The latest review commenced in June 202</w:t>
      </w:r>
      <w:r w:rsidR="00237A0B">
        <w:rPr>
          <w:rFonts w:eastAsia="Calibri"/>
        </w:rPr>
        <w:t>4</w:t>
      </w:r>
      <w:r>
        <w:rPr>
          <w:rFonts w:eastAsia="Calibri"/>
        </w:rPr>
        <w:t xml:space="preserve"> and will culminate in the determination of a suitable investment strategy and performance objective.</w:t>
      </w:r>
    </w:p>
    <w:p w14:paraId="4DCE4C00" w14:textId="5A3E6E30" w:rsidR="009F61E5" w:rsidRPr="00DB22C0" w:rsidRDefault="009F61E5" w:rsidP="00DB22C0">
      <w:pPr>
        <w:pStyle w:val="BodyText"/>
        <w:rPr>
          <w:rFonts w:eastAsia="Calibri"/>
        </w:rPr>
      </w:pPr>
      <w:r w:rsidRPr="00291D78">
        <w:rPr>
          <w:rFonts w:eastAsia="Calibri"/>
        </w:rPr>
        <w:t xml:space="preserve">Scheme affordability remains a </w:t>
      </w:r>
      <w:r>
        <w:rPr>
          <w:rFonts w:eastAsia="Calibri"/>
        </w:rPr>
        <w:t xml:space="preserve">top </w:t>
      </w:r>
      <w:r w:rsidRPr="00291D78">
        <w:rPr>
          <w:rFonts w:eastAsia="Calibri"/>
        </w:rPr>
        <w:t xml:space="preserve">priority and the </w:t>
      </w:r>
      <w:r>
        <w:rPr>
          <w:rFonts w:eastAsia="Calibri"/>
        </w:rPr>
        <w:t>current</w:t>
      </w:r>
      <w:r w:rsidRPr="00291D78">
        <w:rPr>
          <w:rFonts w:eastAsia="Calibri"/>
        </w:rPr>
        <w:t xml:space="preserve"> backdrop of</w:t>
      </w:r>
      <w:r>
        <w:rPr>
          <w:rFonts w:eastAsia="Calibri"/>
        </w:rPr>
        <w:t xml:space="preserve"> </w:t>
      </w:r>
      <w:r w:rsidR="00237A0B">
        <w:rPr>
          <w:rFonts w:eastAsia="Calibri"/>
        </w:rPr>
        <w:t>higher interest rates and sticky</w:t>
      </w:r>
      <w:r>
        <w:rPr>
          <w:rFonts w:eastAsia="Calibri"/>
        </w:rPr>
        <w:t xml:space="preserve"> global</w:t>
      </w:r>
      <w:r w:rsidR="00237A0B">
        <w:rPr>
          <w:rFonts w:eastAsia="Calibri"/>
        </w:rPr>
        <w:t xml:space="preserve"> inflation</w:t>
      </w:r>
      <w:r>
        <w:rPr>
          <w:rFonts w:eastAsia="Calibri"/>
        </w:rPr>
        <w:t xml:space="preserve">, </w:t>
      </w:r>
      <w:r w:rsidR="00237A0B">
        <w:rPr>
          <w:rFonts w:eastAsia="Calibri"/>
        </w:rPr>
        <w:t>together with</w:t>
      </w:r>
      <w:r>
        <w:rPr>
          <w:rFonts w:eastAsia="Calibri"/>
        </w:rPr>
        <w:t xml:space="preserve"> </w:t>
      </w:r>
      <w:r w:rsidRPr="00291D78">
        <w:rPr>
          <w:rFonts w:eastAsia="Calibri"/>
        </w:rPr>
        <w:t xml:space="preserve">public sector </w:t>
      </w:r>
      <w:r w:rsidR="00237A0B">
        <w:rPr>
          <w:rFonts w:eastAsia="Calibri"/>
        </w:rPr>
        <w:t xml:space="preserve">financial </w:t>
      </w:r>
      <w:r w:rsidRPr="00291D78">
        <w:rPr>
          <w:rFonts w:eastAsia="Calibri"/>
        </w:rPr>
        <w:t>constraint</w:t>
      </w:r>
      <w:r w:rsidR="00237A0B">
        <w:rPr>
          <w:rFonts w:eastAsia="Calibri"/>
        </w:rPr>
        <w:t>,</w:t>
      </w:r>
      <w:r w:rsidRPr="00291D78">
        <w:rPr>
          <w:rFonts w:eastAsia="Calibri"/>
        </w:rPr>
        <w:t xml:space="preserve"> continues to provide </w:t>
      </w:r>
      <w:proofErr w:type="gramStart"/>
      <w:r w:rsidRPr="00291D78">
        <w:rPr>
          <w:rFonts w:eastAsia="Calibri"/>
        </w:rPr>
        <w:t>a number of</w:t>
      </w:r>
      <w:proofErr w:type="gramEnd"/>
      <w:r w:rsidRPr="00291D78">
        <w:rPr>
          <w:rFonts w:eastAsia="Calibri"/>
        </w:rPr>
        <w:t xml:space="preserve"> challenges</w:t>
      </w:r>
      <w:r>
        <w:rPr>
          <w:rFonts w:eastAsia="Calibri"/>
        </w:rPr>
        <w:t xml:space="preserve"> in respect of funding, membership and employer finances. The next valuation of the Fund will be carried out </w:t>
      </w:r>
      <w:proofErr w:type="gramStart"/>
      <w:r>
        <w:rPr>
          <w:rFonts w:eastAsia="Calibri"/>
        </w:rPr>
        <w:t>at</w:t>
      </w:r>
      <w:proofErr w:type="gramEnd"/>
      <w:r>
        <w:rPr>
          <w:rFonts w:eastAsia="Calibri"/>
        </w:rPr>
        <w:t xml:space="preserve"> 31 March 202</w:t>
      </w:r>
      <w:r w:rsidR="00237A0B">
        <w:rPr>
          <w:rFonts w:eastAsia="Calibri"/>
        </w:rPr>
        <w:t>5</w:t>
      </w:r>
      <w:r>
        <w:rPr>
          <w:rFonts w:eastAsia="Calibri"/>
        </w:rPr>
        <w:t xml:space="preserve"> and this will give an important snapshot of scheme demographics and funding</w:t>
      </w:r>
      <w:r w:rsidR="00237A0B">
        <w:rPr>
          <w:rFonts w:eastAsia="Calibri"/>
        </w:rPr>
        <w:t>.</w:t>
      </w:r>
    </w:p>
    <w:p w14:paraId="73960312" w14:textId="32A0EF5A" w:rsidR="006C2F10" w:rsidRDefault="009F61E5" w:rsidP="00DB22C0">
      <w:pPr>
        <w:pStyle w:val="BodyText"/>
        <w:rPr>
          <w:rFonts w:eastAsia="Calibri"/>
        </w:rPr>
      </w:pPr>
      <w:r>
        <w:rPr>
          <w:rFonts w:eastAsia="Calibri"/>
        </w:rPr>
        <w:t xml:space="preserve">NILGOSC’s stakeholder base has remained broadly unchanged over time and key stakeholders, namely scheme members and employers, remain the primary focus from a service delivery perspective. Technology continues to advance </w:t>
      </w:r>
      <w:r w:rsidR="007409AF">
        <w:rPr>
          <w:rFonts w:eastAsia="Calibri"/>
        </w:rPr>
        <w:t xml:space="preserve">and </w:t>
      </w:r>
      <w:r>
        <w:rPr>
          <w:rFonts w:eastAsia="Calibri"/>
        </w:rPr>
        <w:t xml:space="preserve">electronic communications </w:t>
      </w:r>
      <w:r w:rsidR="00237A0B">
        <w:rPr>
          <w:rFonts w:eastAsia="Calibri"/>
        </w:rPr>
        <w:t>now</w:t>
      </w:r>
      <w:r>
        <w:rPr>
          <w:rFonts w:eastAsia="Calibri"/>
        </w:rPr>
        <w:t xml:space="preserve"> play an integral role in NILGOSC’s service delivery strategy, subject </w:t>
      </w:r>
      <w:r w:rsidR="00237A0B">
        <w:rPr>
          <w:rFonts w:eastAsia="Calibri"/>
        </w:rPr>
        <w:t xml:space="preserve">always </w:t>
      </w:r>
      <w:r>
        <w:rPr>
          <w:rFonts w:eastAsia="Calibri"/>
        </w:rPr>
        <w:t xml:space="preserve">to </w:t>
      </w:r>
      <w:r w:rsidR="00237A0B">
        <w:rPr>
          <w:rFonts w:eastAsia="Calibri"/>
        </w:rPr>
        <w:t>member</w:t>
      </w:r>
      <w:r>
        <w:rPr>
          <w:rFonts w:eastAsia="Calibri"/>
        </w:rPr>
        <w:t xml:space="preserve"> preference. </w:t>
      </w:r>
      <w:r w:rsidR="00237A0B">
        <w:rPr>
          <w:rFonts w:eastAsia="Calibri"/>
        </w:rPr>
        <w:t xml:space="preserve">The online member portal offers those members who choose to use it 24/7 access to their pension record, together with the ability to update changes and run multiple projections of their </w:t>
      </w:r>
      <w:r w:rsidR="007409AF">
        <w:rPr>
          <w:rFonts w:eastAsia="Calibri"/>
        </w:rPr>
        <w:t xml:space="preserve">retirement </w:t>
      </w:r>
      <w:r w:rsidR="00237A0B">
        <w:rPr>
          <w:rFonts w:eastAsia="Calibri"/>
        </w:rPr>
        <w:t xml:space="preserve">benefits. From an employer perspective, </w:t>
      </w:r>
      <w:r>
        <w:rPr>
          <w:rFonts w:eastAsia="Calibri"/>
        </w:rPr>
        <w:t xml:space="preserve">automation of </w:t>
      </w:r>
      <w:r w:rsidR="00237A0B">
        <w:rPr>
          <w:rFonts w:eastAsia="Calibri"/>
        </w:rPr>
        <w:t>the</w:t>
      </w:r>
      <w:r>
        <w:rPr>
          <w:rFonts w:eastAsia="Calibri"/>
        </w:rPr>
        <w:t xml:space="preserve"> exchange </w:t>
      </w:r>
      <w:r w:rsidR="00237A0B">
        <w:rPr>
          <w:rFonts w:eastAsia="Calibri"/>
        </w:rPr>
        <w:t xml:space="preserve">of member payroll data is an ongoing project, with many employers </w:t>
      </w:r>
      <w:r w:rsidR="007409AF">
        <w:rPr>
          <w:rFonts w:eastAsia="Calibri"/>
        </w:rPr>
        <w:t>already</w:t>
      </w:r>
      <w:r w:rsidR="00237A0B">
        <w:rPr>
          <w:rFonts w:eastAsia="Calibri"/>
        </w:rPr>
        <w:t xml:space="preserve"> onboarded and seeing the benefit of </w:t>
      </w:r>
      <w:r>
        <w:rPr>
          <w:rFonts w:eastAsia="Calibri"/>
        </w:rPr>
        <w:t xml:space="preserve">straight through processing. Both </w:t>
      </w:r>
      <w:r w:rsidR="00237A0B">
        <w:rPr>
          <w:rFonts w:eastAsia="Calibri"/>
        </w:rPr>
        <w:t>systems</w:t>
      </w:r>
      <w:r>
        <w:rPr>
          <w:rFonts w:eastAsia="Calibri"/>
        </w:rPr>
        <w:t xml:space="preserve"> are designed to improve data accuracy and ultimately the timeliness of service delivery to members. Stakeholder satisfaction remains a key performance indicator and </w:t>
      </w:r>
      <w:r w:rsidR="00237A0B">
        <w:rPr>
          <w:rFonts w:eastAsia="Calibri"/>
        </w:rPr>
        <w:t xml:space="preserve">care continues to be taken to ensure that </w:t>
      </w:r>
      <w:r>
        <w:rPr>
          <w:rFonts w:eastAsia="Calibri"/>
        </w:rPr>
        <w:t xml:space="preserve">self-service functionality </w:t>
      </w:r>
      <w:r w:rsidR="00237A0B">
        <w:rPr>
          <w:rFonts w:eastAsia="Calibri"/>
        </w:rPr>
        <w:t>is</w:t>
      </w:r>
      <w:r>
        <w:rPr>
          <w:rFonts w:eastAsia="Calibri"/>
        </w:rPr>
        <w:t xml:space="preserve"> not to the detriment of meaningful communication and engagement</w:t>
      </w:r>
      <w:r w:rsidR="00237A0B">
        <w:rPr>
          <w:rFonts w:eastAsia="Calibri"/>
        </w:rPr>
        <w:t xml:space="preserve"> with members</w:t>
      </w:r>
      <w:r>
        <w:rPr>
          <w:rFonts w:eastAsia="Calibri"/>
        </w:rPr>
        <w:t>.</w:t>
      </w:r>
    </w:p>
    <w:p w14:paraId="630B20C4" w14:textId="77777777" w:rsidR="006C2F10" w:rsidRDefault="006C2F10">
      <w:pPr>
        <w:rPr>
          <w:rFonts w:ascii="Verdana" w:eastAsia="Calibri" w:hAnsi="Verdana"/>
          <w:spacing w:val="-3"/>
          <w:lang w:eastAsia="en-GB"/>
        </w:rPr>
      </w:pPr>
      <w:r>
        <w:rPr>
          <w:rFonts w:eastAsia="Calibri"/>
        </w:rPr>
        <w:br w:type="page"/>
      </w:r>
    </w:p>
    <w:p w14:paraId="48DD13B7" w14:textId="4F72C1B2" w:rsidR="008405F3" w:rsidRDefault="009F61E5" w:rsidP="00847792">
      <w:pPr>
        <w:pStyle w:val="BodyText"/>
        <w:rPr>
          <w:rFonts w:eastAsia="Calibri"/>
        </w:rPr>
      </w:pPr>
      <w:r>
        <w:rPr>
          <w:rFonts w:eastAsia="Calibri"/>
        </w:rPr>
        <w:lastRenderedPageBreak/>
        <w:t xml:space="preserve">Communication forms a fundamental part of NILGOSC’s strategic plan as it seeks to ensure that members and employers understand and engage with their pension scheme. This </w:t>
      </w:r>
      <w:proofErr w:type="gramStart"/>
      <w:r>
        <w:rPr>
          <w:rFonts w:eastAsia="Calibri"/>
        </w:rPr>
        <w:t>in itself is</w:t>
      </w:r>
      <w:proofErr w:type="gramEnd"/>
      <w:r>
        <w:rPr>
          <w:rFonts w:eastAsia="Calibri"/>
        </w:rPr>
        <w:t xml:space="preserve"> not without challenge as </w:t>
      </w:r>
      <w:r w:rsidR="00FB23E0">
        <w:rPr>
          <w:rFonts w:eastAsia="Calibri"/>
        </w:rPr>
        <w:t xml:space="preserve">pension </w:t>
      </w:r>
      <w:r>
        <w:rPr>
          <w:rFonts w:eastAsia="Calibri"/>
        </w:rPr>
        <w:t>scheme complexity increases with each passing set of regulations</w:t>
      </w:r>
      <w:r w:rsidR="00FB23E0">
        <w:rPr>
          <w:rFonts w:eastAsia="Calibri"/>
        </w:rPr>
        <w:t>, together with</w:t>
      </w:r>
      <w:r>
        <w:rPr>
          <w:rFonts w:eastAsia="Calibri"/>
        </w:rPr>
        <w:t xml:space="preserve"> the wider taxation and legislative backdrop.</w:t>
      </w:r>
      <w:r w:rsidR="00DD280F">
        <w:rPr>
          <w:rFonts w:eastAsia="Calibri"/>
        </w:rPr>
        <w:t xml:space="preserve"> In recent times amending McCloud Regulations and changes to the pension taxation regime have proved an additional challenge to stakeholder understanding and overall administrative efficiency. </w:t>
      </w:r>
      <w:r>
        <w:rPr>
          <w:rFonts w:eastAsia="Calibri"/>
        </w:rPr>
        <w:t xml:space="preserve">To help </w:t>
      </w:r>
      <w:r w:rsidR="00DD280F">
        <w:rPr>
          <w:rFonts w:eastAsia="Calibri"/>
        </w:rPr>
        <w:t>address</w:t>
      </w:r>
      <w:r>
        <w:rPr>
          <w:rFonts w:eastAsia="Calibri"/>
        </w:rPr>
        <w:t xml:space="preserve"> this, NILGOSC continues to engage with decision makers to influence and inform the local government pension scheme of the future. As a public body, accountability is paramount and NILGOSC continues to seek to be ‘best in </w:t>
      </w:r>
      <w:proofErr w:type="spellStart"/>
      <w:r>
        <w:rPr>
          <w:rFonts w:eastAsia="Calibri"/>
        </w:rPr>
        <w:t>class’</w:t>
      </w:r>
      <w:proofErr w:type="spellEnd"/>
      <w:r>
        <w:rPr>
          <w:rFonts w:eastAsia="Calibri"/>
        </w:rPr>
        <w:t xml:space="preserve"> from both a pension service perspective and from a governance perspective.</w:t>
      </w:r>
    </w:p>
    <w:p w14:paraId="70F5E83B" w14:textId="1B468596" w:rsidR="009F61E5" w:rsidRPr="00DB22C0" w:rsidRDefault="009F61E5" w:rsidP="00DB22C0">
      <w:pPr>
        <w:pStyle w:val="BodyText"/>
        <w:rPr>
          <w:rFonts w:eastAsia="Calibri"/>
        </w:rPr>
      </w:pPr>
      <w:r>
        <w:rPr>
          <w:rFonts w:eastAsia="Calibri"/>
        </w:rPr>
        <w:t>It is within this context that NILGOSC presents its Vision, Mission, Values and Strategic Aims and Objectives for consultation.</w:t>
      </w:r>
    </w:p>
    <w:p w14:paraId="05DDBC04" w14:textId="6057A581" w:rsidR="000F4E66" w:rsidRPr="00DB22C0" w:rsidRDefault="00FB23E0" w:rsidP="00DB22C0">
      <w:pPr>
        <w:pStyle w:val="StyleHeading2CustomColorRGB38146217"/>
        <w:rPr>
          <w:rFonts w:eastAsia="Calibri"/>
        </w:rPr>
      </w:pPr>
      <w:r>
        <w:rPr>
          <w:rFonts w:eastAsia="Calibri"/>
        </w:rPr>
        <w:br w:type="page"/>
      </w:r>
      <w:r w:rsidR="009F61E5" w:rsidRPr="006A598C">
        <w:rPr>
          <w:rFonts w:eastAsia="Calibri"/>
        </w:rPr>
        <w:lastRenderedPageBreak/>
        <w:t>Consultation Questions</w:t>
      </w:r>
    </w:p>
    <w:p w14:paraId="7C820500" w14:textId="3337EA09" w:rsidR="00C1685A" w:rsidRPr="00DB22C0" w:rsidRDefault="00C1685A" w:rsidP="00DB22C0">
      <w:pPr>
        <w:pStyle w:val="Heading3"/>
        <w:rPr>
          <w:rFonts w:eastAsia="Calibri"/>
          <w:b w:val="0"/>
        </w:rPr>
      </w:pPr>
      <w:r w:rsidRPr="009F61E5">
        <w:rPr>
          <w:rFonts w:eastAsia="Calibri"/>
        </w:rPr>
        <w:t>Vision, Mission and Values</w:t>
      </w:r>
    </w:p>
    <w:p w14:paraId="543ED01F" w14:textId="2701A590" w:rsidR="00C1685A" w:rsidRPr="00DB22C0" w:rsidRDefault="00C1685A" w:rsidP="00DB22C0">
      <w:pPr>
        <w:pStyle w:val="BodyText"/>
      </w:pPr>
      <w:r w:rsidRPr="00F12BD4">
        <w:t>NILGOSC’s vision is</w:t>
      </w:r>
      <w:r>
        <w:t>:</w:t>
      </w:r>
      <w:r w:rsidRPr="00C1685A">
        <w:t xml:space="preserve"> To provide an excellent and sustainable pension scheme.</w:t>
      </w:r>
    </w:p>
    <w:p w14:paraId="7341C0FB" w14:textId="4722F507" w:rsidR="004836FE" w:rsidRDefault="00C1685A" w:rsidP="00E42777">
      <w:pPr>
        <w:pStyle w:val="StyleVerdana10ptBoxSinglesolidlineAuto05ptLinew"/>
        <w:framePr w:wrap="around"/>
      </w:pPr>
      <w:bookmarkStart w:id="1" w:name="_Hlk69978921"/>
      <w:r w:rsidRPr="005931FC">
        <w:rPr>
          <w:b/>
          <w:bCs/>
        </w:rPr>
        <w:t>Question 1:</w:t>
      </w:r>
      <w:r w:rsidRPr="007C0EA2">
        <w:t xml:space="preserve"> Do you agree </w:t>
      </w:r>
      <w:r w:rsidR="00FF3AE7" w:rsidRPr="007C0EA2">
        <w:t>with our vision? If not, what would you expect to see included?</w:t>
      </w:r>
    </w:p>
    <w:bookmarkEnd w:id="1"/>
    <w:p w14:paraId="33C57676" w14:textId="53EAD382" w:rsidR="00C1685A" w:rsidRPr="00C1685A" w:rsidRDefault="00C1685A" w:rsidP="00E369FE">
      <w:pPr>
        <w:pStyle w:val="BodyText2"/>
        <w:rPr>
          <w:highlight w:val="yellow"/>
        </w:rPr>
      </w:pPr>
      <w:r w:rsidRPr="00F12BD4">
        <w:t>NILGOSC’s mission statement is</w:t>
      </w:r>
      <w:r>
        <w:t>:</w:t>
      </w:r>
      <w:r w:rsidR="008D1F08">
        <w:t xml:space="preserve"> </w:t>
      </w:r>
      <w:r w:rsidRPr="00C1685A">
        <w:t>To operate the pension scheme efficiently</w:t>
      </w:r>
      <w:r w:rsidR="00BF6E4D">
        <w:t>,</w:t>
      </w:r>
      <w:r w:rsidRPr="00C1685A">
        <w:t xml:space="preserve"> effectively </w:t>
      </w:r>
      <w:r w:rsidR="00BF6E4D">
        <w:t xml:space="preserve">and sustainably </w:t>
      </w:r>
      <w:r w:rsidRPr="00C1685A">
        <w:t>while enhancing the quality of service provided to stakeholders.</w:t>
      </w:r>
    </w:p>
    <w:p w14:paraId="739FF60E" w14:textId="77777777" w:rsidR="00FF3AE7" w:rsidRDefault="00FF3AE7" w:rsidP="00E42777">
      <w:pPr>
        <w:pStyle w:val="StyleVerdana10ptBoxSinglesolidlineAuto05ptLinew"/>
        <w:framePr w:wrap="around"/>
      </w:pPr>
      <w:bookmarkStart w:id="2" w:name="_Hlk69979105"/>
      <w:r w:rsidRPr="005931FC">
        <w:rPr>
          <w:b/>
          <w:bCs/>
        </w:rPr>
        <w:t>Question 2:</w:t>
      </w:r>
      <w:r w:rsidRPr="007C0EA2">
        <w:t xml:space="preserve"> Do you agree with our mission statement? If not, what would you expect to see included?</w:t>
      </w:r>
    </w:p>
    <w:bookmarkEnd w:id="2"/>
    <w:p w14:paraId="1F63CE2C" w14:textId="77777777" w:rsidR="00DB00B1" w:rsidRDefault="00DB00B1">
      <w:pPr>
        <w:rPr>
          <w:rFonts w:ascii="Verdana" w:hAnsi="Verdana"/>
          <w:spacing w:val="-3"/>
          <w:lang w:eastAsia="en-GB"/>
        </w:rPr>
      </w:pPr>
      <w:r>
        <w:br w:type="page"/>
      </w:r>
    </w:p>
    <w:p w14:paraId="7444E0B5" w14:textId="674D668B" w:rsidR="00FF3AE7" w:rsidRPr="00DB22C0" w:rsidRDefault="005A38A1" w:rsidP="00DB22C0">
      <w:pPr>
        <w:pStyle w:val="BodyText"/>
      </w:pPr>
      <w:r>
        <w:lastRenderedPageBreak/>
        <w:t>I</w:t>
      </w:r>
      <w:r w:rsidR="00FF3AE7" w:rsidRPr="00FF3AE7">
        <w:t xml:space="preserve">n carrying out its aims and objectives NILGOSC is committed to the following </w:t>
      </w:r>
      <w:r w:rsidR="00AB467E">
        <w:t>nine</w:t>
      </w:r>
      <w:r w:rsidR="00FF3AE7" w:rsidRPr="00FF3AE7">
        <w:t xml:space="preserve"> values:</w:t>
      </w:r>
    </w:p>
    <w:p w14:paraId="116D6E47" w14:textId="17189613" w:rsidR="00AB467E" w:rsidRDefault="00AB467E" w:rsidP="000B29A6">
      <w:pPr>
        <w:pStyle w:val="ListBullet"/>
      </w:pPr>
      <w:r>
        <w:t>member focused service delivery</w:t>
      </w:r>
      <w:r w:rsidR="002A2807">
        <w:t>.</w:t>
      </w:r>
    </w:p>
    <w:p w14:paraId="2E2C4A46" w14:textId="7E301EC0" w:rsidR="00BF6E4D" w:rsidRDefault="00BF6E4D" w:rsidP="000B29A6">
      <w:pPr>
        <w:pStyle w:val="ListBullet"/>
      </w:pPr>
      <w:r w:rsidRPr="00FF3AE7">
        <w:t>maximising returns within acceptable risk parameters</w:t>
      </w:r>
      <w:r w:rsidR="002A2807">
        <w:t>.</w:t>
      </w:r>
    </w:p>
    <w:p w14:paraId="742A26E9" w14:textId="7CC3CA2D" w:rsidR="00BF6E4D" w:rsidRDefault="00BF6E4D" w:rsidP="000B29A6">
      <w:pPr>
        <w:pStyle w:val="ListBullet"/>
      </w:pPr>
      <w:r w:rsidRPr="00FF3AE7">
        <w:t>sustainability, both as an investor and as a pension scheme</w:t>
      </w:r>
      <w:r w:rsidR="002A2807">
        <w:t>.</w:t>
      </w:r>
    </w:p>
    <w:p w14:paraId="10239D6D" w14:textId="0FF31D9D" w:rsidR="00FF3AE7" w:rsidRPr="00FF3AE7" w:rsidRDefault="00FF3AE7" w:rsidP="000B29A6">
      <w:pPr>
        <w:pStyle w:val="ListBullet"/>
      </w:pPr>
      <w:r w:rsidRPr="00FF3AE7">
        <w:t xml:space="preserve">responsiveness, </w:t>
      </w:r>
      <w:proofErr w:type="gramStart"/>
      <w:r w:rsidRPr="00FF3AE7">
        <w:t>taking action</w:t>
      </w:r>
      <w:proofErr w:type="gramEnd"/>
      <w:r w:rsidRPr="00FF3AE7">
        <w:t xml:space="preserve"> in a timely manner</w:t>
      </w:r>
      <w:r w:rsidR="002A2807">
        <w:t>.</w:t>
      </w:r>
    </w:p>
    <w:p w14:paraId="415B1DEA" w14:textId="4A75455F" w:rsidR="00FF3AE7" w:rsidRPr="00FF3AE7" w:rsidRDefault="00FF3AE7" w:rsidP="000B29A6">
      <w:pPr>
        <w:pStyle w:val="ListBullet"/>
      </w:pPr>
      <w:r w:rsidRPr="00FF3AE7">
        <w:t>operational excellence through innovation</w:t>
      </w:r>
      <w:r w:rsidR="002A2807">
        <w:t>.</w:t>
      </w:r>
    </w:p>
    <w:p w14:paraId="5F976024" w14:textId="3BDA8D8E" w:rsidR="00FF3AE7" w:rsidRPr="00FF3AE7" w:rsidRDefault="00FF3AE7" w:rsidP="000B29A6">
      <w:pPr>
        <w:pStyle w:val="ListBullet"/>
      </w:pPr>
      <w:r w:rsidRPr="00FF3AE7">
        <w:t>collaboration to achieve shared goals</w:t>
      </w:r>
      <w:r w:rsidR="002A2807">
        <w:t>.</w:t>
      </w:r>
    </w:p>
    <w:p w14:paraId="4D501F84" w14:textId="21AB1893" w:rsidR="00FF3AE7" w:rsidRPr="00FF3AE7" w:rsidRDefault="00FF3AE7" w:rsidP="000B29A6">
      <w:pPr>
        <w:pStyle w:val="ListBullet"/>
      </w:pPr>
      <w:r w:rsidRPr="00FF3AE7">
        <w:t xml:space="preserve">fairness, embracing equality </w:t>
      </w:r>
      <w:r w:rsidR="00AB467E">
        <w:t xml:space="preserve">and diversity </w:t>
      </w:r>
      <w:r w:rsidRPr="00FF3AE7">
        <w:t>in its widest sense</w:t>
      </w:r>
      <w:r w:rsidR="002A2807">
        <w:t>.</w:t>
      </w:r>
    </w:p>
    <w:p w14:paraId="15D5EE03" w14:textId="70F9291C" w:rsidR="00FF3AE7" w:rsidRPr="00FF3AE7" w:rsidRDefault="00FF3AE7" w:rsidP="000B29A6">
      <w:pPr>
        <w:pStyle w:val="ListBullet"/>
      </w:pPr>
      <w:r w:rsidRPr="00FF3AE7">
        <w:t>honesty, integrity and openness in our engagement with stakeholders</w:t>
      </w:r>
      <w:r w:rsidR="002A2807">
        <w:t>.</w:t>
      </w:r>
    </w:p>
    <w:p w14:paraId="0AF8EFD1" w14:textId="4597F0AE" w:rsidR="00FF3AE7" w:rsidRPr="00DB22C0" w:rsidRDefault="00FF3AE7" w:rsidP="00FF3AE7">
      <w:pPr>
        <w:pStyle w:val="ListBullet"/>
      </w:pPr>
      <w:r w:rsidRPr="00FF3AE7">
        <w:t>being understandable, providing simple, clear and complete information</w:t>
      </w:r>
      <w:r w:rsidR="002A2807">
        <w:t>.</w:t>
      </w:r>
    </w:p>
    <w:p w14:paraId="0B14D482" w14:textId="77777777" w:rsidR="00FF3AE7" w:rsidRDefault="00FF3AE7" w:rsidP="00E42777">
      <w:pPr>
        <w:pStyle w:val="StyleVerdana10ptBoxSinglesolidlineAuto05ptLinew"/>
        <w:framePr w:wrap="around"/>
      </w:pPr>
      <w:r w:rsidRPr="005931FC">
        <w:rPr>
          <w:b/>
          <w:bCs/>
        </w:rPr>
        <w:t>Question 3:</w:t>
      </w:r>
      <w:r w:rsidRPr="007C0EA2">
        <w:t xml:space="preserve"> Do our values meet your expectations for a public sector pension scheme? If not, what would you expect to see included?</w:t>
      </w:r>
    </w:p>
    <w:p w14:paraId="67CC98E8" w14:textId="77777777" w:rsidR="00DB00B1" w:rsidRDefault="00DB00B1">
      <w:pPr>
        <w:rPr>
          <w:rFonts w:ascii="Verdana" w:eastAsiaTheme="majorEastAsia" w:hAnsi="Verdana" w:cstheme="majorBidi"/>
          <w:b/>
          <w:color w:val="000000" w:themeColor="text1"/>
        </w:rPr>
      </w:pPr>
      <w:r>
        <w:br w:type="page"/>
      </w:r>
    </w:p>
    <w:p w14:paraId="7B0BDCCB" w14:textId="5C6347F6" w:rsidR="00FF3AE7" w:rsidRPr="00DB22C0" w:rsidRDefault="00FF3AE7" w:rsidP="00DB22C0">
      <w:pPr>
        <w:pStyle w:val="Heading3"/>
      </w:pPr>
      <w:r w:rsidRPr="009F61E5">
        <w:lastRenderedPageBreak/>
        <w:t>Strategic Aims and Objectives</w:t>
      </w:r>
    </w:p>
    <w:p w14:paraId="6A6492AE" w14:textId="078058DE" w:rsidR="0050557B" w:rsidRPr="00DB22C0" w:rsidRDefault="0050557B" w:rsidP="00DB22C0">
      <w:pPr>
        <w:pStyle w:val="BodyText"/>
      </w:pPr>
      <w:r w:rsidRPr="0050557B">
        <w:t xml:space="preserve">NILGOSC has six strategic aims which set out what it wants to achieve. Beneath each aim sits </w:t>
      </w:r>
      <w:proofErr w:type="gramStart"/>
      <w:r w:rsidRPr="0050557B">
        <w:t>a number of</w:t>
      </w:r>
      <w:proofErr w:type="gramEnd"/>
      <w:r w:rsidRPr="0050557B">
        <w:t xml:space="preserve"> objectives, which set out what NILGOSC plans to do to achieve them.</w:t>
      </w:r>
    </w:p>
    <w:p w14:paraId="779FCE31" w14:textId="2FB76F04" w:rsidR="0050557B" w:rsidRPr="00DB22C0" w:rsidRDefault="0050557B" w:rsidP="00DB22C0">
      <w:pPr>
        <w:pStyle w:val="Heading4"/>
      </w:pPr>
      <w:r w:rsidRPr="000B29A6">
        <w:t>Strategic Aim 1: To provide an effective service complying with the pension scheme regulations, good practice, other legislation and stakeholder expectations.</w:t>
      </w:r>
    </w:p>
    <w:p w14:paraId="48B6228A" w14:textId="77777777" w:rsidR="0050557B" w:rsidRPr="0050557B" w:rsidRDefault="0050557B" w:rsidP="00243100">
      <w:pPr>
        <w:pStyle w:val="Heading5"/>
        <w:rPr>
          <w:lang w:val="en-US"/>
        </w:rPr>
      </w:pPr>
      <w:r w:rsidRPr="0050557B">
        <w:rPr>
          <w:lang w:val="en-US"/>
        </w:rPr>
        <w:t>Objectives</w:t>
      </w:r>
    </w:p>
    <w:p w14:paraId="0E57E1FA" w14:textId="0D3B7D4A" w:rsidR="0050557B" w:rsidRPr="0050557B" w:rsidRDefault="0050557B" w:rsidP="00072D4D">
      <w:pPr>
        <w:pStyle w:val="ListBullet"/>
        <w:rPr>
          <w:lang w:val="en-US"/>
        </w:rPr>
      </w:pPr>
      <w:r w:rsidRPr="0050557B">
        <w:rPr>
          <w:lang w:val="en-US"/>
        </w:rPr>
        <w:t>To pay members’ pension benefits, refunds and transfers promptly and accurately</w:t>
      </w:r>
      <w:r w:rsidR="008B66BD">
        <w:rPr>
          <w:lang w:val="en-US"/>
        </w:rPr>
        <w:t>.</w:t>
      </w:r>
    </w:p>
    <w:p w14:paraId="5C84DF21" w14:textId="4F6C6A6B" w:rsidR="0050557B" w:rsidRPr="0050557B" w:rsidRDefault="0050557B" w:rsidP="00072D4D">
      <w:pPr>
        <w:pStyle w:val="ListBullet"/>
        <w:rPr>
          <w:lang w:val="en-US"/>
        </w:rPr>
      </w:pPr>
      <w:r w:rsidRPr="0050557B">
        <w:rPr>
          <w:lang w:val="en-US"/>
        </w:rPr>
        <w:t>To credit pension contributions, transfers and other employer liabilities received promptly and accurately</w:t>
      </w:r>
      <w:r w:rsidR="008B66BD">
        <w:rPr>
          <w:lang w:val="en-US"/>
        </w:rPr>
        <w:t>.</w:t>
      </w:r>
    </w:p>
    <w:p w14:paraId="7070CE60" w14:textId="265A2EAB" w:rsidR="0050557B" w:rsidRPr="0050557B" w:rsidRDefault="0050557B" w:rsidP="00072D4D">
      <w:pPr>
        <w:pStyle w:val="ListBullet"/>
        <w:rPr>
          <w:lang w:val="en-US"/>
        </w:rPr>
      </w:pPr>
      <w:r w:rsidRPr="0050557B">
        <w:rPr>
          <w:lang w:val="en-US"/>
        </w:rPr>
        <w:t>To provide members with information needed to make pension decisions promptly</w:t>
      </w:r>
      <w:r w:rsidR="008B66BD">
        <w:rPr>
          <w:lang w:val="en-US"/>
        </w:rPr>
        <w:t>.</w:t>
      </w:r>
    </w:p>
    <w:p w14:paraId="32AA2D77" w14:textId="09F5C0C8" w:rsidR="0050557B" w:rsidRPr="0050557B" w:rsidRDefault="0050557B" w:rsidP="00072D4D">
      <w:pPr>
        <w:pStyle w:val="ListBullet"/>
        <w:rPr>
          <w:lang w:val="en-US"/>
        </w:rPr>
      </w:pPr>
      <w:r w:rsidRPr="0050557B">
        <w:rPr>
          <w:lang w:val="en-US"/>
        </w:rPr>
        <w:t>To pay death benefits promptly and accurately</w:t>
      </w:r>
      <w:r w:rsidR="008B66BD">
        <w:rPr>
          <w:lang w:val="en-US"/>
        </w:rPr>
        <w:t>.</w:t>
      </w:r>
    </w:p>
    <w:p w14:paraId="459EF9FC" w14:textId="4A7BC9B3" w:rsidR="0050557B" w:rsidRPr="0050557B" w:rsidRDefault="0050557B" w:rsidP="00072D4D">
      <w:pPr>
        <w:pStyle w:val="ListBullet"/>
        <w:rPr>
          <w:lang w:val="en-US"/>
        </w:rPr>
      </w:pPr>
      <w:r w:rsidRPr="0050557B">
        <w:rPr>
          <w:lang w:val="en-US"/>
        </w:rPr>
        <w:t>To ensure that all necessary action is taken on any change to scheme rules</w:t>
      </w:r>
      <w:r w:rsidR="008B66BD">
        <w:rPr>
          <w:lang w:val="en-US"/>
        </w:rPr>
        <w:t>.</w:t>
      </w:r>
    </w:p>
    <w:p w14:paraId="7EE90485" w14:textId="1D0E5912" w:rsidR="0050557B" w:rsidRPr="0050557B" w:rsidRDefault="0050557B" w:rsidP="00072D4D">
      <w:pPr>
        <w:pStyle w:val="ListBullet"/>
        <w:rPr>
          <w:lang w:val="en-US"/>
        </w:rPr>
      </w:pPr>
      <w:r w:rsidRPr="0050557B">
        <w:rPr>
          <w:lang w:val="en-US"/>
        </w:rPr>
        <w:t>To ensure that systems and procedures comply with relevant legislation</w:t>
      </w:r>
      <w:r w:rsidR="008B66BD">
        <w:rPr>
          <w:lang w:val="en-US"/>
        </w:rPr>
        <w:t>.</w:t>
      </w:r>
    </w:p>
    <w:p w14:paraId="508DD9E4" w14:textId="74E1FF5C" w:rsidR="009F61E5" w:rsidRPr="00DB22C0" w:rsidRDefault="0050557B" w:rsidP="00DB22C0">
      <w:pPr>
        <w:pStyle w:val="ListBullet"/>
        <w:rPr>
          <w:lang w:val="en-US"/>
        </w:rPr>
      </w:pPr>
      <w:r w:rsidRPr="0050557B">
        <w:rPr>
          <w:lang w:val="en-US"/>
        </w:rPr>
        <w:t>To maintain accurate and complete member data</w:t>
      </w:r>
      <w:r w:rsidR="008B66BD">
        <w:rPr>
          <w:lang w:val="en-US"/>
        </w:rPr>
        <w:t>.</w:t>
      </w:r>
    </w:p>
    <w:p w14:paraId="5852A52B" w14:textId="27CD481B" w:rsidR="0050557B" w:rsidRPr="00DB22C0" w:rsidRDefault="0050557B" w:rsidP="00DB22C0">
      <w:pPr>
        <w:pStyle w:val="Heading4"/>
      </w:pPr>
      <w:r w:rsidRPr="00D13DEC">
        <w:t>Strategic Aim 2: To deliver an effective investment strategy in line with the actuarial profile of the fund.</w:t>
      </w:r>
    </w:p>
    <w:p w14:paraId="75973EDB" w14:textId="77777777" w:rsidR="0050557B" w:rsidRPr="0050557B" w:rsidRDefault="0050557B" w:rsidP="006D7502">
      <w:pPr>
        <w:pStyle w:val="Heading5"/>
        <w:rPr>
          <w:lang w:val="en-US"/>
        </w:rPr>
      </w:pPr>
      <w:r w:rsidRPr="0050557B">
        <w:rPr>
          <w:lang w:val="en-US"/>
        </w:rPr>
        <w:t>Objectives</w:t>
      </w:r>
    </w:p>
    <w:p w14:paraId="46534867" w14:textId="0640895A" w:rsidR="0050557B" w:rsidRPr="0050557B" w:rsidRDefault="0050557B" w:rsidP="00072D4D">
      <w:pPr>
        <w:pStyle w:val="ListBullet"/>
        <w:rPr>
          <w:lang w:val="en-US"/>
        </w:rPr>
      </w:pPr>
      <w:r w:rsidRPr="0050557B">
        <w:rPr>
          <w:lang w:val="en-US"/>
        </w:rPr>
        <w:t>To value the scheme assets and liabilities and set contribution rates accordingly</w:t>
      </w:r>
      <w:r w:rsidR="008B66BD">
        <w:rPr>
          <w:lang w:val="en-US"/>
        </w:rPr>
        <w:t>.</w:t>
      </w:r>
    </w:p>
    <w:p w14:paraId="040D602D" w14:textId="7F0BE441" w:rsidR="00A2394C" w:rsidRDefault="0050557B" w:rsidP="00072D4D">
      <w:pPr>
        <w:pStyle w:val="ListBullet"/>
        <w:rPr>
          <w:lang w:val="en-US"/>
        </w:rPr>
      </w:pPr>
      <w:r w:rsidRPr="0050557B">
        <w:rPr>
          <w:lang w:val="en-US"/>
        </w:rPr>
        <w:t>To invest scheme funds in accordance with the Statement of Investment Principles</w:t>
      </w:r>
      <w:r w:rsidR="008B66BD">
        <w:rPr>
          <w:lang w:val="en-US"/>
        </w:rPr>
        <w:t>.</w:t>
      </w:r>
      <w:r w:rsidRPr="0050557B">
        <w:rPr>
          <w:lang w:val="en-US"/>
        </w:rPr>
        <w:t xml:space="preserve"> </w:t>
      </w:r>
    </w:p>
    <w:p w14:paraId="102F6023" w14:textId="2B7693AB" w:rsidR="00A2394C" w:rsidRPr="00A2394C" w:rsidRDefault="00A2394C" w:rsidP="00072D4D">
      <w:pPr>
        <w:pStyle w:val="ListBullet"/>
        <w:rPr>
          <w:lang w:val="en-US"/>
        </w:rPr>
      </w:pPr>
      <w:r w:rsidRPr="00A2394C">
        <w:rPr>
          <w:lang w:val="en-US"/>
        </w:rPr>
        <w:t>To deliver investment performance within appropriate risk return parameters</w:t>
      </w:r>
      <w:r w:rsidR="008B66BD">
        <w:rPr>
          <w:lang w:val="en-US"/>
        </w:rPr>
        <w:t>.</w:t>
      </w:r>
    </w:p>
    <w:p w14:paraId="0487E4A0" w14:textId="2E8B277C" w:rsidR="00A2394C" w:rsidRPr="00A2394C" w:rsidRDefault="00A2394C" w:rsidP="00072D4D">
      <w:pPr>
        <w:pStyle w:val="ListBullet"/>
        <w:rPr>
          <w:lang w:val="en-US"/>
        </w:rPr>
      </w:pPr>
      <w:r w:rsidRPr="00A2394C">
        <w:rPr>
          <w:lang w:val="en-US"/>
        </w:rPr>
        <w:t>To review investment performance regularly</w:t>
      </w:r>
      <w:r w:rsidR="008B66BD">
        <w:rPr>
          <w:lang w:val="en-US"/>
        </w:rPr>
        <w:t>.</w:t>
      </w:r>
    </w:p>
    <w:p w14:paraId="6C5A93A8" w14:textId="002F3830" w:rsidR="001960D9" w:rsidRDefault="00A2394C" w:rsidP="00072D4D">
      <w:pPr>
        <w:pStyle w:val="ListBullet"/>
        <w:rPr>
          <w:lang w:val="en-US"/>
        </w:rPr>
      </w:pPr>
      <w:r w:rsidRPr="00A2394C">
        <w:rPr>
          <w:lang w:val="en-US"/>
        </w:rPr>
        <w:t>To ensure effective stewardship in line with responsible investment policy</w:t>
      </w:r>
      <w:r w:rsidR="008B66BD">
        <w:rPr>
          <w:lang w:val="en-US"/>
        </w:rPr>
        <w:t>.</w:t>
      </w:r>
    </w:p>
    <w:p w14:paraId="7E4507F7" w14:textId="1D968228" w:rsidR="00A2394C" w:rsidRPr="001960D9" w:rsidRDefault="001960D9" w:rsidP="001960D9">
      <w:pPr>
        <w:rPr>
          <w:rFonts w:ascii="Verdana" w:hAnsi="Verdana"/>
          <w:lang w:val="en-US"/>
        </w:rPr>
      </w:pPr>
      <w:r>
        <w:rPr>
          <w:lang w:val="en-US"/>
        </w:rPr>
        <w:br w:type="page"/>
      </w:r>
    </w:p>
    <w:p w14:paraId="769A461A" w14:textId="7584BC0D" w:rsidR="00A2394C" w:rsidRPr="004B00B9" w:rsidRDefault="00A2394C" w:rsidP="002765BE">
      <w:pPr>
        <w:pStyle w:val="ListBullet"/>
        <w:rPr>
          <w:lang w:val="en-US"/>
        </w:rPr>
      </w:pPr>
      <w:r w:rsidRPr="00A2394C">
        <w:rPr>
          <w:lang w:val="en-US"/>
        </w:rPr>
        <w:lastRenderedPageBreak/>
        <w:t>To manage the investment risks posed by climate change</w:t>
      </w:r>
      <w:r w:rsidR="008B66BD">
        <w:rPr>
          <w:lang w:val="en-US"/>
        </w:rPr>
        <w:t>.</w:t>
      </w:r>
    </w:p>
    <w:p w14:paraId="3EC2B083" w14:textId="5678DB5F" w:rsidR="0050557B" w:rsidRPr="0050557B" w:rsidRDefault="0050557B" w:rsidP="00072D4D">
      <w:pPr>
        <w:pStyle w:val="ListBullet"/>
        <w:rPr>
          <w:lang w:val="en-US"/>
        </w:rPr>
      </w:pPr>
      <w:r w:rsidRPr="0050557B">
        <w:rPr>
          <w:lang w:val="en-US"/>
        </w:rPr>
        <w:t>To understand and adopt good practice in Public Sector pension fund management</w:t>
      </w:r>
      <w:r w:rsidR="008B66BD">
        <w:rPr>
          <w:lang w:val="en-US"/>
        </w:rPr>
        <w:t>.</w:t>
      </w:r>
    </w:p>
    <w:p w14:paraId="0090553C" w14:textId="23B79FC4" w:rsidR="009F61E5" w:rsidRPr="00DB22C0" w:rsidRDefault="0050557B" w:rsidP="0050557B">
      <w:pPr>
        <w:pStyle w:val="ListBullet"/>
        <w:rPr>
          <w:lang w:val="en-US"/>
        </w:rPr>
      </w:pPr>
      <w:r w:rsidRPr="0050557B">
        <w:rPr>
          <w:lang w:val="en-US"/>
        </w:rPr>
        <w:t>To work collaboratively on investment matters when suitable opportunities arise</w:t>
      </w:r>
      <w:r w:rsidR="008B66BD">
        <w:rPr>
          <w:lang w:val="en-US"/>
        </w:rPr>
        <w:t>.</w:t>
      </w:r>
    </w:p>
    <w:p w14:paraId="1483626B" w14:textId="663CEFEA" w:rsidR="0050557B" w:rsidRPr="00DB22C0" w:rsidRDefault="007C0EA2" w:rsidP="00DB22C0">
      <w:pPr>
        <w:pStyle w:val="Heading4"/>
        <w:rPr>
          <w:lang w:val="en-US"/>
        </w:rPr>
      </w:pPr>
      <w:r w:rsidRPr="007C0EA2">
        <w:rPr>
          <w:lang w:val="en-US"/>
        </w:rPr>
        <w:t xml:space="preserve">Strategic Aim 3: </w:t>
      </w:r>
      <w:r w:rsidR="0050557B" w:rsidRPr="0050557B">
        <w:rPr>
          <w:lang w:val="en-US"/>
        </w:rPr>
        <w:t>To promote the scheme and inform members and employers of their pension options.</w:t>
      </w:r>
    </w:p>
    <w:p w14:paraId="0F63572D" w14:textId="77777777" w:rsidR="0050557B" w:rsidRPr="0050557B" w:rsidRDefault="0050557B" w:rsidP="006D7502">
      <w:pPr>
        <w:pStyle w:val="Heading5"/>
      </w:pPr>
      <w:r w:rsidRPr="0050557B">
        <w:t>Objectives</w:t>
      </w:r>
    </w:p>
    <w:p w14:paraId="71140494" w14:textId="1A074390" w:rsidR="0050557B" w:rsidRPr="0050557B" w:rsidRDefault="0050557B" w:rsidP="00D13DEC">
      <w:pPr>
        <w:pStyle w:val="ListBullet"/>
        <w:rPr>
          <w:lang w:val="en-US"/>
        </w:rPr>
      </w:pPr>
      <w:r w:rsidRPr="0050557B">
        <w:rPr>
          <w:lang w:val="en-US"/>
        </w:rPr>
        <w:t>To actively encourage retention in, and new membership of, the Scheme</w:t>
      </w:r>
      <w:r w:rsidR="008B66BD">
        <w:rPr>
          <w:lang w:val="en-US"/>
        </w:rPr>
        <w:t>.</w:t>
      </w:r>
    </w:p>
    <w:p w14:paraId="28009A8D" w14:textId="079FD6FC" w:rsidR="0050557B" w:rsidRPr="0050557B" w:rsidRDefault="0050557B" w:rsidP="00D13DEC">
      <w:pPr>
        <w:pStyle w:val="ListBullet"/>
        <w:rPr>
          <w:lang w:val="en-US"/>
        </w:rPr>
      </w:pPr>
      <w:r w:rsidRPr="0050557B">
        <w:rPr>
          <w:lang w:val="en-US"/>
        </w:rPr>
        <w:t>To provide general scheme information to scheme employers, their employees, members, Trade Unions and pensioners through active engagement</w:t>
      </w:r>
      <w:r w:rsidR="008B66BD">
        <w:rPr>
          <w:lang w:val="en-US"/>
        </w:rPr>
        <w:t>.</w:t>
      </w:r>
    </w:p>
    <w:p w14:paraId="759F215E" w14:textId="7152915F" w:rsidR="009F61E5" w:rsidRPr="00DB22C0" w:rsidRDefault="0050557B" w:rsidP="0050557B">
      <w:pPr>
        <w:pStyle w:val="ListBullet"/>
        <w:rPr>
          <w:lang w:val="en-US"/>
        </w:rPr>
      </w:pPr>
      <w:r w:rsidRPr="0050557B">
        <w:rPr>
          <w:lang w:val="en-US"/>
        </w:rPr>
        <w:t>To provide members and employers with specific details of Regulation changes and relevant tax legislation changes</w:t>
      </w:r>
      <w:r w:rsidR="008B66BD">
        <w:rPr>
          <w:lang w:val="en-US"/>
        </w:rPr>
        <w:t>.</w:t>
      </w:r>
    </w:p>
    <w:p w14:paraId="6BE827DC" w14:textId="29172E5F" w:rsidR="0050557B" w:rsidRPr="00DB22C0" w:rsidRDefault="007C0EA2" w:rsidP="00DB22C0">
      <w:pPr>
        <w:pStyle w:val="Heading4"/>
        <w:rPr>
          <w:lang w:val="en-US"/>
        </w:rPr>
      </w:pPr>
      <w:r w:rsidRPr="007C0EA2">
        <w:rPr>
          <w:lang w:val="en-US"/>
        </w:rPr>
        <w:t xml:space="preserve">Strategic Aim 4: </w:t>
      </w:r>
      <w:r w:rsidR="0050557B" w:rsidRPr="0050557B">
        <w:rPr>
          <w:lang w:val="en-US"/>
        </w:rPr>
        <w:t>To influence and inform the debate on the future of the Local Government Pension Scheme</w:t>
      </w:r>
    </w:p>
    <w:p w14:paraId="444E0A40" w14:textId="77777777" w:rsidR="0050557B" w:rsidRPr="0050557B" w:rsidRDefault="0050557B" w:rsidP="006D7502">
      <w:pPr>
        <w:pStyle w:val="Heading5"/>
      </w:pPr>
      <w:r w:rsidRPr="0050557B">
        <w:t>Objectives</w:t>
      </w:r>
    </w:p>
    <w:p w14:paraId="00EBFF50" w14:textId="1C79377E" w:rsidR="0050557B" w:rsidRPr="0050557B" w:rsidRDefault="0050557B" w:rsidP="00D13DEC">
      <w:pPr>
        <w:pStyle w:val="ListBullet"/>
        <w:rPr>
          <w:lang w:val="en-US"/>
        </w:rPr>
      </w:pPr>
      <w:r w:rsidRPr="0050557B">
        <w:rPr>
          <w:lang w:val="en-US"/>
        </w:rPr>
        <w:t>To influence changes to the LGPS and actively contribute to relevant consultations</w:t>
      </w:r>
      <w:r w:rsidR="008B66BD">
        <w:rPr>
          <w:lang w:val="en-US"/>
        </w:rPr>
        <w:t>.</w:t>
      </w:r>
    </w:p>
    <w:p w14:paraId="78AE4D2B" w14:textId="6778B308" w:rsidR="0050557B" w:rsidRPr="0050557B" w:rsidRDefault="0050557B" w:rsidP="00D13DEC">
      <w:pPr>
        <w:pStyle w:val="ListBullet"/>
        <w:rPr>
          <w:lang w:val="en-US"/>
        </w:rPr>
      </w:pPr>
      <w:r w:rsidRPr="0050557B">
        <w:rPr>
          <w:lang w:val="en-US"/>
        </w:rPr>
        <w:t>To engage with, and inform, interested parties and relevant decision makers</w:t>
      </w:r>
      <w:r w:rsidR="008B66BD">
        <w:rPr>
          <w:lang w:val="en-US"/>
        </w:rPr>
        <w:t>.</w:t>
      </w:r>
    </w:p>
    <w:p w14:paraId="32F5E922" w14:textId="02C8ABEF" w:rsidR="0050557B" w:rsidRPr="00DB22C0" w:rsidRDefault="0050557B" w:rsidP="0050557B">
      <w:pPr>
        <w:pStyle w:val="ListBullet"/>
        <w:rPr>
          <w:lang w:val="en-US"/>
        </w:rPr>
      </w:pPr>
      <w:r w:rsidRPr="0050557B">
        <w:rPr>
          <w:lang w:val="en-US"/>
        </w:rPr>
        <w:t>To improve the Scheme Regulations for the benefit of employers and members</w:t>
      </w:r>
      <w:r w:rsidR="008B66BD">
        <w:rPr>
          <w:lang w:val="en-US"/>
        </w:rPr>
        <w:t>.</w:t>
      </w:r>
    </w:p>
    <w:p w14:paraId="01BDA30E" w14:textId="2F793D6B" w:rsidR="0050557B" w:rsidRPr="00DB22C0" w:rsidRDefault="007C0EA2" w:rsidP="00DB22C0">
      <w:pPr>
        <w:pStyle w:val="Heading4"/>
        <w:rPr>
          <w:lang w:val="en-US"/>
        </w:rPr>
      </w:pPr>
      <w:r w:rsidRPr="007C0EA2">
        <w:rPr>
          <w:lang w:val="en-US"/>
        </w:rPr>
        <w:t xml:space="preserve">Strategic Aim 5: </w:t>
      </w:r>
      <w:r w:rsidR="0050557B" w:rsidRPr="0050557B">
        <w:rPr>
          <w:lang w:val="en-US"/>
        </w:rPr>
        <w:t>To undertake business in an efficient, effective and accountable manner as required of a public body.</w:t>
      </w:r>
    </w:p>
    <w:p w14:paraId="6324FC24" w14:textId="31B39E52" w:rsidR="0050557B" w:rsidRPr="0050557B" w:rsidRDefault="0050557B" w:rsidP="006D7502">
      <w:pPr>
        <w:pStyle w:val="Heading5"/>
      </w:pPr>
      <w:r w:rsidRPr="0050557B">
        <w:t>Objectives</w:t>
      </w:r>
    </w:p>
    <w:p w14:paraId="1CE9E9CB" w14:textId="3804633F" w:rsidR="0050557B" w:rsidRPr="0050557B" w:rsidRDefault="0050557B" w:rsidP="00D13DEC">
      <w:pPr>
        <w:pStyle w:val="ListBullet"/>
        <w:rPr>
          <w:lang w:val="en-US"/>
        </w:rPr>
      </w:pPr>
      <w:r w:rsidRPr="0050557B">
        <w:rPr>
          <w:lang w:val="en-US"/>
        </w:rPr>
        <w:t xml:space="preserve">To enhance corporate governance </w:t>
      </w:r>
      <w:proofErr w:type="gramStart"/>
      <w:r w:rsidRPr="0050557B">
        <w:rPr>
          <w:lang w:val="en-US"/>
        </w:rPr>
        <w:t>arrangements</w:t>
      </w:r>
      <w:proofErr w:type="gramEnd"/>
      <w:r w:rsidRPr="0050557B">
        <w:rPr>
          <w:lang w:val="en-US"/>
        </w:rPr>
        <w:t xml:space="preserve"> appropriate for a public body</w:t>
      </w:r>
      <w:r w:rsidR="008B66BD">
        <w:rPr>
          <w:lang w:val="en-US"/>
        </w:rPr>
        <w:t>.</w:t>
      </w:r>
      <w:r w:rsidRPr="0050557B">
        <w:rPr>
          <w:lang w:val="en-US"/>
        </w:rPr>
        <w:t xml:space="preserve"> </w:t>
      </w:r>
    </w:p>
    <w:p w14:paraId="54BACCC3" w14:textId="1B604733" w:rsidR="0050557B" w:rsidRPr="0050557B" w:rsidRDefault="0050557B" w:rsidP="00D13DEC">
      <w:pPr>
        <w:pStyle w:val="ListBullet"/>
        <w:rPr>
          <w:lang w:val="en-US"/>
        </w:rPr>
      </w:pPr>
      <w:r w:rsidRPr="0050557B">
        <w:rPr>
          <w:lang w:val="en-US"/>
        </w:rPr>
        <w:t xml:space="preserve">To </w:t>
      </w:r>
      <w:proofErr w:type="spellStart"/>
      <w:r w:rsidRPr="0050557B">
        <w:rPr>
          <w:lang w:val="en-US"/>
        </w:rPr>
        <w:t>maximise</w:t>
      </w:r>
      <w:proofErr w:type="spellEnd"/>
      <w:r w:rsidRPr="0050557B">
        <w:rPr>
          <w:lang w:val="en-US"/>
        </w:rPr>
        <w:t xml:space="preserve"> efficiency </w:t>
      </w:r>
      <w:proofErr w:type="gramStart"/>
      <w:r w:rsidRPr="0050557B">
        <w:rPr>
          <w:lang w:val="en-US"/>
        </w:rPr>
        <w:t>through the use of</w:t>
      </w:r>
      <w:proofErr w:type="gramEnd"/>
      <w:r w:rsidRPr="0050557B">
        <w:rPr>
          <w:lang w:val="en-US"/>
        </w:rPr>
        <w:t xml:space="preserve"> technology</w:t>
      </w:r>
      <w:r w:rsidR="008B66BD">
        <w:rPr>
          <w:lang w:val="en-US"/>
        </w:rPr>
        <w:t>.</w:t>
      </w:r>
      <w:r w:rsidRPr="0050557B">
        <w:rPr>
          <w:lang w:val="en-US"/>
        </w:rPr>
        <w:t xml:space="preserve"> </w:t>
      </w:r>
    </w:p>
    <w:p w14:paraId="1D4E41A3" w14:textId="579824CD" w:rsidR="001960D9" w:rsidRDefault="0050557B" w:rsidP="00D13DEC">
      <w:pPr>
        <w:pStyle w:val="ListBullet"/>
      </w:pPr>
      <w:r w:rsidRPr="0050557B">
        <w:rPr>
          <w:lang w:val="en-US"/>
        </w:rPr>
        <w:t>To manage change in an effective and timely manner</w:t>
      </w:r>
      <w:r w:rsidR="008B66BD">
        <w:rPr>
          <w:lang w:val="en-US"/>
        </w:rPr>
        <w:t>.</w:t>
      </w:r>
      <w:r w:rsidR="00A2394C" w:rsidRPr="00A2394C">
        <w:t xml:space="preserve"> </w:t>
      </w:r>
    </w:p>
    <w:p w14:paraId="22E3AA80" w14:textId="60FF9C3A" w:rsidR="00A2394C" w:rsidRPr="001960D9" w:rsidRDefault="001960D9" w:rsidP="001960D9">
      <w:pPr>
        <w:rPr>
          <w:rFonts w:ascii="Verdana" w:hAnsi="Verdana"/>
        </w:rPr>
      </w:pPr>
      <w:r>
        <w:br w:type="page"/>
      </w:r>
    </w:p>
    <w:p w14:paraId="5E38DA29" w14:textId="77777777" w:rsidR="00A2394C" w:rsidRPr="00A2394C" w:rsidRDefault="00A2394C" w:rsidP="00D13DEC">
      <w:pPr>
        <w:pStyle w:val="ListBullet"/>
        <w:rPr>
          <w:lang w:val="en-US"/>
        </w:rPr>
      </w:pPr>
      <w:r w:rsidRPr="00A2394C">
        <w:rPr>
          <w:lang w:val="en-US"/>
        </w:rPr>
        <w:lastRenderedPageBreak/>
        <w:t>To ensure NILGOSC attracts and retains well trained personnel</w:t>
      </w:r>
    </w:p>
    <w:p w14:paraId="46164FD4" w14:textId="77777777" w:rsidR="00A2394C" w:rsidRPr="00A2394C" w:rsidRDefault="00A2394C" w:rsidP="00D13DEC">
      <w:pPr>
        <w:pStyle w:val="ListBullet"/>
        <w:rPr>
          <w:lang w:val="en-US"/>
        </w:rPr>
      </w:pPr>
      <w:r w:rsidRPr="00A2394C">
        <w:rPr>
          <w:lang w:val="en-US"/>
        </w:rPr>
        <w:t xml:space="preserve">To ensure that the office environment meets the growing needs of stakeholders and staff </w:t>
      </w:r>
    </w:p>
    <w:p w14:paraId="5E59136B" w14:textId="789E1403" w:rsidR="009F61E5" w:rsidRPr="00DB22C0" w:rsidRDefault="00A2394C" w:rsidP="0050557B">
      <w:pPr>
        <w:pStyle w:val="ListBullet"/>
        <w:rPr>
          <w:lang w:val="en-US"/>
        </w:rPr>
      </w:pPr>
      <w:r>
        <w:rPr>
          <w:lang w:val="en-US"/>
        </w:rPr>
        <w:t>To ensure an effective and cohesive Committee</w:t>
      </w:r>
    </w:p>
    <w:p w14:paraId="453F9939" w14:textId="154064E7" w:rsidR="0050557B" w:rsidRPr="00DB22C0" w:rsidRDefault="007C0EA2" w:rsidP="00DB22C0">
      <w:pPr>
        <w:pStyle w:val="Heading4"/>
        <w:rPr>
          <w:lang w:val="en-US"/>
        </w:rPr>
      </w:pPr>
      <w:r w:rsidRPr="007C0EA2">
        <w:rPr>
          <w:lang w:val="en-US"/>
        </w:rPr>
        <w:t xml:space="preserve">Strategic Aim 6: </w:t>
      </w:r>
      <w:r w:rsidR="0050557B" w:rsidRPr="0050557B">
        <w:rPr>
          <w:lang w:val="en-US"/>
        </w:rPr>
        <w:t>To promote equality of opportunity, good relations and to fulfil Section 75 obligations.</w:t>
      </w:r>
    </w:p>
    <w:p w14:paraId="33E60AB5" w14:textId="52CD7120" w:rsidR="0050557B" w:rsidRPr="0050557B" w:rsidRDefault="0050557B" w:rsidP="005D3077">
      <w:pPr>
        <w:pStyle w:val="Heading5"/>
      </w:pPr>
      <w:r w:rsidRPr="0050557B">
        <w:t>Objectives</w:t>
      </w:r>
    </w:p>
    <w:p w14:paraId="1B3583EB" w14:textId="11B792C6" w:rsidR="0050557B" w:rsidRPr="0050557B" w:rsidRDefault="0050557B" w:rsidP="00D13DEC">
      <w:pPr>
        <w:pStyle w:val="ListBullet"/>
        <w:rPr>
          <w:lang w:val="en-US"/>
        </w:rPr>
      </w:pPr>
      <w:r w:rsidRPr="0050557B">
        <w:rPr>
          <w:lang w:val="en-US"/>
        </w:rPr>
        <w:t>To assess the likely impact of policies on the promotion of equality of opportunity and good relations</w:t>
      </w:r>
      <w:r w:rsidR="00FE2351">
        <w:rPr>
          <w:lang w:val="en-US"/>
        </w:rPr>
        <w:t>.</w:t>
      </w:r>
    </w:p>
    <w:p w14:paraId="6F1290C1" w14:textId="4A86673B" w:rsidR="0050557B" w:rsidRPr="0050557B" w:rsidRDefault="0050557B" w:rsidP="00D13DEC">
      <w:pPr>
        <w:pStyle w:val="ListBullet"/>
      </w:pPr>
      <w:r w:rsidRPr="0050557B">
        <w:t>To ensure NILGOSC personnel policies promote equality of opportunity</w:t>
      </w:r>
      <w:r w:rsidR="00FE2351">
        <w:t>.</w:t>
      </w:r>
    </w:p>
    <w:p w14:paraId="392B850F" w14:textId="21333035" w:rsidR="0050557B" w:rsidRPr="00DB22C0" w:rsidRDefault="0050557B" w:rsidP="0050557B">
      <w:pPr>
        <w:pStyle w:val="ListBullet"/>
      </w:pPr>
      <w:r w:rsidRPr="0050557B">
        <w:t>To ensure that NILGOSC meets or exceeds best practice as set out by the Equality Commission</w:t>
      </w:r>
      <w:r w:rsidR="00FE2351">
        <w:t>.</w:t>
      </w:r>
    </w:p>
    <w:p w14:paraId="559C742E" w14:textId="77777777" w:rsidR="00915ED4" w:rsidRDefault="00915ED4" w:rsidP="00E42777">
      <w:pPr>
        <w:pStyle w:val="StyleVerdana10ptBoxSinglesolidlineAuto05ptLinew"/>
        <w:framePr w:wrap="around"/>
      </w:pPr>
      <w:bookmarkStart w:id="3" w:name="_Hlk69983614"/>
      <w:r w:rsidRPr="00E72649">
        <w:rPr>
          <w:b/>
          <w:bCs/>
        </w:rPr>
        <w:t xml:space="preserve">Question </w:t>
      </w:r>
      <w:r w:rsidR="00AC799D" w:rsidRPr="00E72649">
        <w:rPr>
          <w:b/>
          <w:bCs/>
        </w:rPr>
        <w:t>4</w:t>
      </w:r>
      <w:r w:rsidRPr="00E72649">
        <w:rPr>
          <w:b/>
          <w:bCs/>
        </w:rPr>
        <w:t>:</w:t>
      </w:r>
      <w:r w:rsidRPr="007C0EA2">
        <w:t xml:space="preserve"> Do our </w:t>
      </w:r>
      <w:r w:rsidR="00AC799D">
        <w:t xml:space="preserve">strategic aims </w:t>
      </w:r>
      <w:r w:rsidRPr="007C0EA2">
        <w:t xml:space="preserve">meet your expectations for a public sector pension scheme? If not, </w:t>
      </w:r>
      <w:r w:rsidR="00AC799D">
        <w:t>why</w:t>
      </w:r>
      <w:r w:rsidRPr="007C0EA2">
        <w:t>?</w:t>
      </w:r>
    </w:p>
    <w:bookmarkEnd w:id="3"/>
    <w:p w14:paraId="15B259B8" w14:textId="15B079F2" w:rsidR="00FF3AE7" w:rsidRPr="00FF3AE7" w:rsidRDefault="00FF3AE7" w:rsidP="00FF3AE7">
      <w:pPr>
        <w:rPr>
          <w:rFonts w:ascii="Verdana" w:hAnsi="Verdana"/>
          <w:sz w:val="20"/>
          <w:szCs w:val="20"/>
        </w:rPr>
      </w:pPr>
    </w:p>
    <w:p w14:paraId="7628B2EC" w14:textId="77777777" w:rsidR="00AC799D" w:rsidRDefault="00AC799D" w:rsidP="00E42777">
      <w:pPr>
        <w:pStyle w:val="StyleVerdana10ptBoxSinglesolidlineAuto05ptLinew"/>
        <w:framePr w:wrap="around"/>
      </w:pPr>
      <w:r w:rsidRPr="00E72649">
        <w:rPr>
          <w:b/>
          <w:bCs/>
        </w:rPr>
        <w:t>Question 5:</w:t>
      </w:r>
      <w:r w:rsidRPr="007C0EA2">
        <w:t xml:space="preserve"> </w:t>
      </w:r>
      <w:r>
        <w:t>Is there anything else you would</w:t>
      </w:r>
      <w:r w:rsidRPr="007C0EA2">
        <w:t xml:space="preserve"> expect to see included</w:t>
      </w:r>
      <w:r>
        <w:t xml:space="preserve"> in our strategic aims and objectives?</w:t>
      </w:r>
    </w:p>
    <w:p w14:paraId="62F7B53D" w14:textId="177A69E4" w:rsidR="00C4688B" w:rsidRDefault="00C4688B">
      <w:pPr>
        <w:rPr>
          <w:rFonts w:ascii="Verdana" w:hAnsi="Verdana"/>
          <w:sz w:val="20"/>
          <w:szCs w:val="20"/>
        </w:rPr>
      </w:pPr>
      <w:r>
        <w:rPr>
          <w:rFonts w:ascii="Verdana" w:hAnsi="Verdana"/>
          <w:sz w:val="20"/>
          <w:szCs w:val="20"/>
        </w:rPr>
        <w:br w:type="page"/>
      </w:r>
    </w:p>
    <w:p w14:paraId="53F0C2E5" w14:textId="48E701BD" w:rsidR="00AC799D" w:rsidRDefault="00AC799D" w:rsidP="00E42777">
      <w:pPr>
        <w:pStyle w:val="StyleVerdana10ptBoxSinglesolidlineAuto05ptLinew"/>
        <w:framePr w:wrap="around"/>
      </w:pPr>
      <w:r w:rsidRPr="00E72649">
        <w:rPr>
          <w:b/>
          <w:bCs/>
        </w:rPr>
        <w:lastRenderedPageBreak/>
        <w:t>Question 6:</w:t>
      </w:r>
      <w:r w:rsidRPr="007C0EA2">
        <w:t xml:space="preserve"> </w:t>
      </w:r>
      <w:r>
        <w:t>Have you any other comments on our Vision, Mission, Values, Strategic Aims and Objectives?</w:t>
      </w:r>
    </w:p>
    <w:p w14:paraId="7C946D2E" w14:textId="77777777" w:rsidR="00DB00B1" w:rsidRDefault="00DB00B1">
      <w:pPr>
        <w:rPr>
          <w:rFonts w:ascii="Verdana" w:hAnsi="Verdana"/>
          <w:b/>
          <w:bCs/>
          <w:color w:val="2692D9"/>
          <w:sz w:val="28"/>
          <w:lang w:eastAsia="en-GB"/>
        </w:rPr>
      </w:pPr>
      <w:r>
        <w:rPr>
          <w:lang w:eastAsia="en-GB"/>
        </w:rPr>
        <w:br w:type="page"/>
      </w:r>
    </w:p>
    <w:p w14:paraId="2E1CB628" w14:textId="0AD3DB65" w:rsidR="00717BAB" w:rsidRPr="00DB22C0" w:rsidRDefault="00717BAB" w:rsidP="005D3077">
      <w:pPr>
        <w:pStyle w:val="StyleHeading2CustomColorRGB38146217"/>
        <w:rPr>
          <w:color w:val="auto"/>
          <w:sz w:val="26"/>
          <w:lang w:eastAsia="en-GB"/>
        </w:rPr>
      </w:pPr>
      <w:r w:rsidRPr="00717BAB">
        <w:rPr>
          <w:lang w:eastAsia="en-GB"/>
        </w:rPr>
        <w:lastRenderedPageBreak/>
        <w:t>Appendix 1</w:t>
      </w:r>
    </w:p>
    <w:p w14:paraId="6D655242" w14:textId="4A7BD9BE" w:rsidR="00717BAB" w:rsidRPr="00DB22C0" w:rsidRDefault="00717BAB" w:rsidP="00DB22C0">
      <w:pPr>
        <w:pStyle w:val="Heading3"/>
        <w:rPr>
          <w:lang w:eastAsia="en-GB"/>
        </w:rPr>
      </w:pPr>
      <w:r w:rsidRPr="00717BAB">
        <w:rPr>
          <w:lang w:eastAsia="en-GB"/>
        </w:rPr>
        <w:t>Freedom of Information Act 2000 – Confidentiality of Consultations</w:t>
      </w:r>
    </w:p>
    <w:p w14:paraId="388A8A14" w14:textId="24EC1F73" w:rsidR="00717BAB" w:rsidRPr="00717BAB" w:rsidRDefault="00717BAB" w:rsidP="00D13DEC">
      <w:pPr>
        <w:pStyle w:val="BodyText"/>
      </w:pPr>
      <w:r w:rsidRPr="00717BAB">
        <w:t>NILGOSC will publish a summary of responses following completion of the consultation process. Your response, and all other responses to the consultation, may be disclosed on request. NILGOSC can only refuse to disclose information in exceptional circumstances. Before you submit your response, please read the paragraphs below on the confidentiality of consultations and they will give you guidance on the legal position regarding any information given by you in response to this consultation.</w:t>
      </w:r>
    </w:p>
    <w:p w14:paraId="68BA5A21" w14:textId="5FF4114F" w:rsidR="00717BAB" w:rsidRPr="00717BAB" w:rsidRDefault="00717BAB" w:rsidP="00D13DEC">
      <w:pPr>
        <w:pStyle w:val="BodyText"/>
      </w:pPr>
      <w:r w:rsidRPr="00717BAB">
        <w:t>The Freedom of Information Act gives the public a right of access to any information held by a public authority, namely NILGOSC in this case. This right of access to information includes information provided in response to a consultation. NILGOSC cannot automatically consider as confidential information supplied to it in response to a consultation. However, it does have the responsibility to decide whether any information provided by you in response to this consultation, including information about your identity should be made public or be treated as confidential. This means that information provided by you in response to the consultation is unlikely to be treated as confidential, except in very particular circumstances.</w:t>
      </w:r>
    </w:p>
    <w:p w14:paraId="5020A0AB" w14:textId="77777777" w:rsidR="00717BAB" w:rsidRPr="00717BAB" w:rsidRDefault="00717BAB" w:rsidP="00D13DEC">
      <w:pPr>
        <w:pStyle w:val="BodyText"/>
      </w:pPr>
      <w:r w:rsidRPr="00717BAB">
        <w:t>The Lord Chancellor’s Code of Practice on the Freedom of Information Act provides that:</w:t>
      </w:r>
    </w:p>
    <w:p w14:paraId="0F4F337D" w14:textId="77777777" w:rsidR="00717BAB" w:rsidRPr="00717BAB" w:rsidRDefault="00717BAB" w:rsidP="00D13DEC">
      <w:pPr>
        <w:pStyle w:val="ListBullet"/>
        <w:rPr>
          <w:lang w:eastAsia="en-GB"/>
        </w:rPr>
      </w:pPr>
      <w:r w:rsidRPr="00717BAB">
        <w:rPr>
          <w:lang w:eastAsia="en-GB"/>
        </w:rPr>
        <w:t xml:space="preserve">NILGOSC should only accept information from third parties in confidence if it is necessary to obtain that information in connection with the exercise of any of its functions and it would not otherwise be </w:t>
      </w:r>
      <w:proofErr w:type="gramStart"/>
      <w:r w:rsidRPr="00717BAB">
        <w:rPr>
          <w:lang w:eastAsia="en-GB"/>
        </w:rPr>
        <w:t>provided;</w:t>
      </w:r>
      <w:proofErr w:type="gramEnd"/>
    </w:p>
    <w:p w14:paraId="6C76FF06" w14:textId="77777777" w:rsidR="00717BAB" w:rsidRPr="00717BAB" w:rsidRDefault="00717BAB" w:rsidP="00D13DEC">
      <w:pPr>
        <w:pStyle w:val="ListBullet"/>
        <w:rPr>
          <w:lang w:eastAsia="en-GB"/>
        </w:rPr>
      </w:pPr>
      <w:r w:rsidRPr="00717BAB">
        <w:rPr>
          <w:lang w:eastAsia="en-GB"/>
        </w:rPr>
        <w:t xml:space="preserve">NILGOSC should not agree to hold information received from third parties “in confidence” which is not confidential in </w:t>
      </w:r>
      <w:proofErr w:type="gramStart"/>
      <w:r w:rsidRPr="00717BAB">
        <w:rPr>
          <w:lang w:eastAsia="en-GB"/>
        </w:rPr>
        <w:t>nature;</w:t>
      </w:r>
      <w:proofErr w:type="gramEnd"/>
    </w:p>
    <w:p w14:paraId="2C22875C" w14:textId="77777777" w:rsidR="00717BAB" w:rsidRPr="00717BAB" w:rsidRDefault="00717BAB" w:rsidP="00D13DEC">
      <w:pPr>
        <w:pStyle w:val="ListBullet"/>
        <w:rPr>
          <w:lang w:eastAsia="en-GB"/>
        </w:rPr>
      </w:pPr>
      <w:r w:rsidRPr="00717BAB">
        <w:rPr>
          <w:lang w:eastAsia="en-GB"/>
        </w:rPr>
        <w:t>acceptance by NILGOSC of confidentiality provisions must be for good reasons, capable of being justified to the Information Commissioner.</w:t>
      </w:r>
    </w:p>
    <w:p w14:paraId="451099C5" w14:textId="1C280957" w:rsidR="00717BAB" w:rsidRPr="00717BAB" w:rsidRDefault="00717BAB" w:rsidP="00D13DEC">
      <w:pPr>
        <w:pStyle w:val="BodyText"/>
      </w:pPr>
      <w:r w:rsidRPr="00717BAB">
        <w:lastRenderedPageBreak/>
        <w:t xml:space="preserve">For further information about confidentiality of responses please contact the Information Commissioner’s Office (or see website at: </w:t>
      </w:r>
      <w:hyperlink r:id="rId14" w:history="1">
        <w:r w:rsidRPr="00324C18">
          <w:rPr>
            <w:rStyle w:val="Hyperlink"/>
          </w:rPr>
          <w:t>www.informationcommissioner.gov.uk</w:t>
        </w:r>
      </w:hyperlink>
      <w:r w:rsidRPr="00324C18">
        <w:rPr>
          <w:rStyle w:val="Hyperlink"/>
        </w:rPr>
        <w:t>)</w:t>
      </w:r>
      <w:r w:rsidRPr="00717BAB">
        <w:t>.</w:t>
      </w:r>
    </w:p>
    <w:sectPr w:rsidR="00717BAB" w:rsidRPr="00717BAB" w:rsidSect="008404A4">
      <w:pgSz w:w="11906" w:h="16838" w:code="9"/>
      <w:pgMar w:top="1440" w:right="1440" w:bottom="1440" w:left="1440" w:header="34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15FAA" w14:textId="77777777" w:rsidR="005F293F" w:rsidRDefault="005F293F">
      <w:r>
        <w:separator/>
      </w:r>
    </w:p>
  </w:endnote>
  <w:endnote w:type="continuationSeparator" w:id="0">
    <w:p w14:paraId="59DC7B3D" w14:textId="77777777" w:rsidR="005F293F" w:rsidRDefault="005F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ITC Franklin Gothic Book">
    <w:altName w:val="Bell MT"/>
    <w:charset w:val="00"/>
    <w:family w:val="auto"/>
    <w:pitch w:val="variable"/>
    <w:sig w:usb0="00000003" w:usb1="00000000" w:usb2="00000000" w:usb3="00000000" w:csb0="00000001" w:csb1="00000000"/>
  </w:font>
  <w:font w:name="ITC Stone Sans Medium">
    <w:altName w:val="Times New Roman"/>
    <w:charset w:val="00"/>
    <w:family w:val="auto"/>
    <w:pitch w:val="variable"/>
    <w:sig w:usb0="00000001" w:usb1="4000204A" w:usb2="00000000" w:usb3="00000000" w:csb0="0000011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4DDD1" w14:textId="77777777" w:rsidR="005F293F" w:rsidRDefault="005F293F">
      <w:r>
        <w:separator/>
      </w:r>
    </w:p>
  </w:footnote>
  <w:footnote w:type="continuationSeparator" w:id="0">
    <w:p w14:paraId="2F96E5F3" w14:textId="77777777" w:rsidR="005F293F" w:rsidRDefault="005F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7267D" w14:textId="77777777" w:rsidR="008404A4" w:rsidRPr="008B1C16" w:rsidRDefault="008404A4" w:rsidP="008404A4">
    <w:pPr>
      <w:pStyle w:val="Header1"/>
      <w:jc w:val="center"/>
      <w:rPr>
        <w:rFonts w:ascii="Verdana" w:hAnsi="Verdana"/>
        <w:b/>
      </w:rPr>
    </w:pPr>
    <w:bookmarkStart w:id="0" w:name="_Hlk69986078"/>
    <w:r w:rsidRPr="008B1C16">
      <w:rPr>
        <w:rFonts w:ascii="Verdana" w:hAnsi="Verdana"/>
        <w:b/>
      </w:rPr>
      <w:t>Northern Ireland Local Government Officers’ Superannuation Committee</w:t>
    </w:r>
  </w:p>
  <w:p w14:paraId="109C6E91" w14:textId="77777777" w:rsidR="008404A4" w:rsidRPr="008B1C16" w:rsidRDefault="008404A4" w:rsidP="008404A4">
    <w:pPr>
      <w:pStyle w:val="Header1"/>
      <w:jc w:val="center"/>
      <w:rPr>
        <w:rFonts w:ascii="Verdana" w:hAnsi="Verdana"/>
        <w:b/>
      </w:rPr>
    </w:pPr>
  </w:p>
  <w:p w14:paraId="5C4A6C64" w14:textId="77777777" w:rsidR="008404A4" w:rsidRPr="008B1C16" w:rsidRDefault="008404A4" w:rsidP="008404A4">
    <w:pPr>
      <w:pStyle w:val="Header1"/>
      <w:jc w:val="center"/>
      <w:rPr>
        <w:rFonts w:ascii="Verdana" w:hAnsi="Verdana"/>
        <w:b/>
      </w:rPr>
    </w:pPr>
    <w:r w:rsidRPr="008B1C16">
      <w:rPr>
        <w:rFonts w:ascii="Verdana" w:hAnsi="Verdana"/>
        <w:b/>
      </w:rPr>
      <w:t>Vision, Mission, Values, Strategic Aims and Objectives</w:t>
    </w:r>
  </w:p>
  <w:p w14:paraId="6305B315" w14:textId="29934C1B" w:rsidR="0022566B" w:rsidRPr="008B1C16" w:rsidRDefault="0022566B" w:rsidP="0022566B">
    <w:pPr>
      <w:pStyle w:val="Header1"/>
      <w:jc w:val="center"/>
      <w:rPr>
        <w:rFonts w:ascii="Verdana" w:hAnsi="Verdana"/>
        <w:b/>
      </w:rPr>
    </w:pPr>
  </w:p>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7EBB2" w14:textId="7F350787" w:rsidR="008D3DBC" w:rsidRPr="008B1C16" w:rsidRDefault="008D3DBC" w:rsidP="008D3DBC">
    <w:pPr>
      <w:pStyle w:val="Header1"/>
      <w:jc w:val="center"/>
      <w:rPr>
        <w:rFonts w:ascii="Verdana" w:hAnsi="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9CAA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57900"/>
    <w:multiLevelType w:val="hybridMultilevel"/>
    <w:tmpl w:val="899ED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B945DE"/>
    <w:multiLevelType w:val="hybridMultilevel"/>
    <w:tmpl w:val="29202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469AA"/>
    <w:multiLevelType w:val="hybridMultilevel"/>
    <w:tmpl w:val="E7BCAC16"/>
    <w:lvl w:ilvl="0" w:tplc="BF8265FC">
      <w:start w:val="1"/>
      <w:numFmt w:val="decimal"/>
      <w:lvlText w:val="8.%1"/>
      <w:lvlJc w:val="left"/>
      <w:pPr>
        <w:ind w:left="1461" w:hanging="360"/>
      </w:pPr>
      <w:rPr>
        <w:rFonts w:hint="default"/>
      </w:rPr>
    </w:lvl>
    <w:lvl w:ilvl="1" w:tplc="08090019" w:tentative="1">
      <w:start w:val="1"/>
      <w:numFmt w:val="lowerLetter"/>
      <w:lvlText w:val="%2."/>
      <w:lvlJc w:val="left"/>
      <w:pPr>
        <w:ind w:left="2181" w:hanging="360"/>
      </w:pPr>
    </w:lvl>
    <w:lvl w:ilvl="2" w:tplc="0809001B" w:tentative="1">
      <w:start w:val="1"/>
      <w:numFmt w:val="lowerRoman"/>
      <w:lvlText w:val="%3."/>
      <w:lvlJc w:val="right"/>
      <w:pPr>
        <w:ind w:left="2901" w:hanging="180"/>
      </w:pPr>
    </w:lvl>
    <w:lvl w:ilvl="3" w:tplc="0809000F" w:tentative="1">
      <w:start w:val="1"/>
      <w:numFmt w:val="decimal"/>
      <w:lvlText w:val="%4."/>
      <w:lvlJc w:val="left"/>
      <w:pPr>
        <w:ind w:left="3621" w:hanging="360"/>
      </w:pPr>
    </w:lvl>
    <w:lvl w:ilvl="4" w:tplc="08090019" w:tentative="1">
      <w:start w:val="1"/>
      <w:numFmt w:val="lowerLetter"/>
      <w:lvlText w:val="%5."/>
      <w:lvlJc w:val="left"/>
      <w:pPr>
        <w:ind w:left="4341" w:hanging="360"/>
      </w:pPr>
    </w:lvl>
    <w:lvl w:ilvl="5" w:tplc="0809001B" w:tentative="1">
      <w:start w:val="1"/>
      <w:numFmt w:val="lowerRoman"/>
      <w:lvlText w:val="%6."/>
      <w:lvlJc w:val="right"/>
      <w:pPr>
        <w:ind w:left="5061" w:hanging="180"/>
      </w:pPr>
    </w:lvl>
    <w:lvl w:ilvl="6" w:tplc="0809000F" w:tentative="1">
      <w:start w:val="1"/>
      <w:numFmt w:val="decimal"/>
      <w:lvlText w:val="%7."/>
      <w:lvlJc w:val="left"/>
      <w:pPr>
        <w:ind w:left="5781" w:hanging="360"/>
      </w:pPr>
    </w:lvl>
    <w:lvl w:ilvl="7" w:tplc="08090019" w:tentative="1">
      <w:start w:val="1"/>
      <w:numFmt w:val="lowerLetter"/>
      <w:lvlText w:val="%8."/>
      <w:lvlJc w:val="left"/>
      <w:pPr>
        <w:ind w:left="6501" w:hanging="360"/>
      </w:pPr>
    </w:lvl>
    <w:lvl w:ilvl="8" w:tplc="0809001B" w:tentative="1">
      <w:start w:val="1"/>
      <w:numFmt w:val="lowerRoman"/>
      <w:lvlText w:val="%9."/>
      <w:lvlJc w:val="right"/>
      <w:pPr>
        <w:ind w:left="7221" w:hanging="180"/>
      </w:pPr>
    </w:lvl>
  </w:abstractNum>
  <w:abstractNum w:abstractNumId="4" w15:restartNumberingAfterBreak="0">
    <w:nsid w:val="1F29204F"/>
    <w:multiLevelType w:val="hybridMultilevel"/>
    <w:tmpl w:val="4E7E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7CB3"/>
    <w:multiLevelType w:val="hybridMultilevel"/>
    <w:tmpl w:val="64C0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24D7E"/>
    <w:multiLevelType w:val="hybridMultilevel"/>
    <w:tmpl w:val="2376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C26D67"/>
    <w:multiLevelType w:val="hybridMultilevel"/>
    <w:tmpl w:val="A4AA9FFA"/>
    <w:lvl w:ilvl="0" w:tplc="08090001">
      <w:start w:val="1"/>
      <w:numFmt w:val="bullet"/>
      <w:lvlText w:val=""/>
      <w:lvlJc w:val="left"/>
      <w:pPr>
        <w:ind w:left="4450" w:hanging="360"/>
      </w:pPr>
      <w:rPr>
        <w:rFonts w:ascii="Symbol" w:hAnsi="Symbol" w:hint="default"/>
      </w:rPr>
    </w:lvl>
    <w:lvl w:ilvl="1" w:tplc="08090003" w:tentative="1">
      <w:start w:val="1"/>
      <w:numFmt w:val="bullet"/>
      <w:lvlText w:val="o"/>
      <w:lvlJc w:val="left"/>
      <w:pPr>
        <w:ind w:left="5170" w:hanging="360"/>
      </w:pPr>
      <w:rPr>
        <w:rFonts w:ascii="Courier New" w:hAnsi="Courier New" w:cs="Courier New" w:hint="default"/>
      </w:rPr>
    </w:lvl>
    <w:lvl w:ilvl="2" w:tplc="08090005" w:tentative="1">
      <w:start w:val="1"/>
      <w:numFmt w:val="bullet"/>
      <w:lvlText w:val=""/>
      <w:lvlJc w:val="left"/>
      <w:pPr>
        <w:ind w:left="5890" w:hanging="360"/>
      </w:pPr>
      <w:rPr>
        <w:rFonts w:ascii="Wingdings" w:hAnsi="Wingdings" w:hint="default"/>
      </w:rPr>
    </w:lvl>
    <w:lvl w:ilvl="3" w:tplc="08090001" w:tentative="1">
      <w:start w:val="1"/>
      <w:numFmt w:val="bullet"/>
      <w:lvlText w:val=""/>
      <w:lvlJc w:val="left"/>
      <w:pPr>
        <w:ind w:left="6610" w:hanging="360"/>
      </w:pPr>
      <w:rPr>
        <w:rFonts w:ascii="Symbol" w:hAnsi="Symbol" w:hint="default"/>
      </w:rPr>
    </w:lvl>
    <w:lvl w:ilvl="4" w:tplc="08090003" w:tentative="1">
      <w:start w:val="1"/>
      <w:numFmt w:val="bullet"/>
      <w:lvlText w:val="o"/>
      <w:lvlJc w:val="left"/>
      <w:pPr>
        <w:ind w:left="7330" w:hanging="360"/>
      </w:pPr>
      <w:rPr>
        <w:rFonts w:ascii="Courier New" w:hAnsi="Courier New" w:cs="Courier New" w:hint="default"/>
      </w:rPr>
    </w:lvl>
    <w:lvl w:ilvl="5" w:tplc="08090005" w:tentative="1">
      <w:start w:val="1"/>
      <w:numFmt w:val="bullet"/>
      <w:lvlText w:val=""/>
      <w:lvlJc w:val="left"/>
      <w:pPr>
        <w:ind w:left="8050" w:hanging="360"/>
      </w:pPr>
      <w:rPr>
        <w:rFonts w:ascii="Wingdings" w:hAnsi="Wingdings" w:hint="default"/>
      </w:rPr>
    </w:lvl>
    <w:lvl w:ilvl="6" w:tplc="08090001" w:tentative="1">
      <w:start w:val="1"/>
      <w:numFmt w:val="bullet"/>
      <w:lvlText w:val=""/>
      <w:lvlJc w:val="left"/>
      <w:pPr>
        <w:ind w:left="8770" w:hanging="360"/>
      </w:pPr>
      <w:rPr>
        <w:rFonts w:ascii="Symbol" w:hAnsi="Symbol" w:hint="default"/>
      </w:rPr>
    </w:lvl>
    <w:lvl w:ilvl="7" w:tplc="08090003" w:tentative="1">
      <w:start w:val="1"/>
      <w:numFmt w:val="bullet"/>
      <w:lvlText w:val="o"/>
      <w:lvlJc w:val="left"/>
      <w:pPr>
        <w:ind w:left="9490" w:hanging="360"/>
      </w:pPr>
      <w:rPr>
        <w:rFonts w:ascii="Courier New" w:hAnsi="Courier New" w:cs="Courier New" w:hint="default"/>
      </w:rPr>
    </w:lvl>
    <w:lvl w:ilvl="8" w:tplc="08090005" w:tentative="1">
      <w:start w:val="1"/>
      <w:numFmt w:val="bullet"/>
      <w:lvlText w:val=""/>
      <w:lvlJc w:val="left"/>
      <w:pPr>
        <w:ind w:left="10210" w:hanging="360"/>
      </w:pPr>
      <w:rPr>
        <w:rFonts w:ascii="Wingdings" w:hAnsi="Wingdings" w:hint="default"/>
      </w:rPr>
    </w:lvl>
  </w:abstractNum>
  <w:abstractNum w:abstractNumId="8" w15:restartNumberingAfterBreak="0">
    <w:nsid w:val="43694FE1"/>
    <w:multiLevelType w:val="hybridMultilevel"/>
    <w:tmpl w:val="40FE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74AF6"/>
    <w:multiLevelType w:val="hybridMultilevel"/>
    <w:tmpl w:val="1282772E"/>
    <w:lvl w:ilvl="0" w:tplc="B4F0D3F8">
      <w:numFmt w:val="bullet"/>
      <w:lvlText w:val="•"/>
      <w:lvlJc w:val="left"/>
      <w:pPr>
        <w:ind w:left="720" w:hanging="360"/>
      </w:pPr>
      <w:rPr>
        <w:rFonts w:ascii="Verdana" w:eastAsia="Times New Roman" w:hAnsi="Verdan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1A65C9"/>
    <w:multiLevelType w:val="hybridMultilevel"/>
    <w:tmpl w:val="D6B8FF60"/>
    <w:lvl w:ilvl="0" w:tplc="9860158A">
      <w:numFmt w:val="bullet"/>
      <w:lvlText w:val="•"/>
      <w:lvlJc w:val="left"/>
      <w:pPr>
        <w:ind w:left="1080" w:hanging="72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D5048"/>
    <w:multiLevelType w:val="hybridMultilevel"/>
    <w:tmpl w:val="35B0EFB2"/>
    <w:lvl w:ilvl="0" w:tplc="9F3067F4">
      <w:start w:val="1"/>
      <w:numFmt w:val="decimal"/>
      <w:lvlText w:val="%1."/>
      <w:lvlJc w:val="left"/>
      <w:pPr>
        <w:ind w:left="1495"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7A0526"/>
    <w:multiLevelType w:val="hybridMultilevel"/>
    <w:tmpl w:val="3FD2C1F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3" w15:restartNumberingAfterBreak="0">
    <w:nsid w:val="5BF22E7D"/>
    <w:multiLevelType w:val="hybridMultilevel"/>
    <w:tmpl w:val="53B00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ED3734"/>
    <w:multiLevelType w:val="hybridMultilevel"/>
    <w:tmpl w:val="7BD88128"/>
    <w:lvl w:ilvl="0" w:tplc="492223AE">
      <w:start w:val="1"/>
      <w:numFmt w:val="decimal"/>
      <w:lvlText w:val="1.%1"/>
      <w:lvlJc w:val="left"/>
      <w:pPr>
        <w:tabs>
          <w:tab w:val="num" w:pos="2118"/>
        </w:tabs>
        <w:ind w:left="1800" w:hanging="14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511F06"/>
    <w:multiLevelType w:val="hybridMultilevel"/>
    <w:tmpl w:val="CFC8BE5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6" w15:restartNumberingAfterBreak="0">
    <w:nsid w:val="75D71B54"/>
    <w:multiLevelType w:val="hybridMultilevel"/>
    <w:tmpl w:val="5B7A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80FD5"/>
    <w:multiLevelType w:val="hybridMultilevel"/>
    <w:tmpl w:val="3C98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60645"/>
    <w:multiLevelType w:val="hybridMultilevel"/>
    <w:tmpl w:val="6ECE6990"/>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9" w15:restartNumberingAfterBreak="0">
    <w:nsid w:val="7CDF41E1"/>
    <w:multiLevelType w:val="hybridMultilevel"/>
    <w:tmpl w:val="25689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B608C1"/>
    <w:multiLevelType w:val="hybridMultilevel"/>
    <w:tmpl w:val="E46C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222852">
    <w:abstractNumId w:val="14"/>
  </w:num>
  <w:num w:numId="2" w16cid:durableId="1842895142">
    <w:abstractNumId w:val="3"/>
  </w:num>
  <w:num w:numId="3" w16cid:durableId="1071272249">
    <w:abstractNumId w:val="7"/>
  </w:num>
  <w:num w:numId="4" w16cid:durableId="891426100">
    <w:abstractNumId w:val="1"/>
  </w:num>
  <w:num w:numId="5" w16cid:durableId="842549838">
    <w:abstractNumId w:val="12"/>
  </w:num>
  <w:num w:numId="6" w16cid:durableId="1617366584">
    <w:abstractNumId w:val="18"/>
  </w:num>
  <w:num w:numId="7" w16cid:durableId="845171067">
    <w:abstractNumId w:val="8"/>
  </w:num>
  <w:num w:numId="8" w16cid:durableId="854617716">
    <w:abstractNumId w:val="15"/>
  </w:num>
  <w:num w:numId="9" w16cid:durableId="801265478">
    <w:abstractNumId w:val="9"/>
  </w:num>
  <w:num w:numId="10" w16cid:durableId="1849755678">
    <w:abstractNumId w:val="11"/>
  </w:num>
  <w:num w:numId="11" w16cid:durableId="243420473">
    <w:abstractNumId w:val="17"/>
  </w:num>
  <w:num w:numId="12" w16cid:durableId="1356229234">
    <w:abstractNumId w:val="2"/>
  </w:num>
  <w:num w:numId="13" w16cid:durableId="1682510084">
    <w:abstractNumId w:val="4"/>
  </w:num>
  <w:num w:numId="14" w16cid:durableId="2146703929">
    <w:abstractNumId w:val="13"/>
  </w:num>
  <w:num w:numId="15" w16cid:durableId="772554638">
    <w:abstractNumId w:val="16"/>
  </w:num>
  <w:num w:numId="16" w16cid:durableId="1520509446">
    <w:abstractNumId w:val="5"/>
  </w:num>
  <w:num w:numId="17" w16cid:durableId="1854032759">
    <w:abstractNumId w:val="19"/>
  </w:num>
  <w:num w:numId="18" w16cid:durableId="1747609353">
    <w:abstractNumId w:val="6"/>
  </w:num>
  <w:num w:numId="19" w16cid:durableId="170488200">
    <w:abstractNumId w:val="10"/>
  </w:num>
  <w:num w:numId="20" w16cid:durableId="1233932277">
    <w:abstractNumId w:val="20"/>
  </w:num>
  <w:num w:numId="21" w16cid:durableId="106915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DA"/>
    <w:rsid w:val="00003D9A"/>
    <w:rsid w:val="00016A45"/>
    <w:rsid w:val="00040B06"/>
    <w:rsid w:val="00044DD4"/>
    <w:rsid w:val="00067275"/>
    <w:rsid w:val="00072D4D"/>
    <w:rsid w:val="000873C2"/>
    <w:rsid w:val="000B29A6"/>
    <w:rsid w:val="000C38CF"/>
    <w:rsid w:val="000E51F6"/>
    <w:rsid w:val="000E6F74"/>
    <w:rsid w:val="000F1F9C"/>
    <w:rsid w:val="000F4E66"/>
    <w:rsid w:val="001130B1"/>
    <w:rsid w:val="00132358"/>
    <w:rsid w:val="00140A84"/>
    <w:rsid w:val="00142BDA"/>
    <w:rsid w:val="00184AF8"/>
    <w:rsid w:val="001960D9"/>
    <w:rsid w:val="001A331E"/>
    <w:rsid w:val="001B333E"/>
    <w:rsid w:val="001B6114"/>
    <w:rsid w:val="001C5FF0"/>
    <w:rsid w:val="001E1773"/>
    <w:rsid w:val="001E5BB1"/>
    <w:rsid w:val="001F2046"/>
    <w:rsid w:val="0022566B"/>
    <w:rsid w:val="00236751"/>
    <w:rsid w:val="00237A0B"/>
    <w:rsid w:val="00243100"/>
    <w:rsid w:val="002479BD"/>
    <w:rsid w:val="00250410"/>
    <w:rsid w:val="002529AC"/>
    <w:rsid w:val="002558EA"/>
    <w:rsid w:val="002765BE"/>
    <w:rsid w:val="0028740F"/>
    <w:rsid w:val="00291D78"/>
    <w:rsid w:val="002A2807"/>
    <w:rsid w:val="002B3A4F"/>
    <w:rsid w:val="002F6969"/>
    <w:rsid w:val="0030156B"/>
    <w:rsid w:val="003077D6"/>
    <w:rsid w:val="00324C18"/>
    <w:rsid w:val="00347927"/>
    <w:rsid w:val="00375F50"/>
    <w:rsid w:val="003856C1"/>
    <w:rsid w:val="00386D39"/>
    <w:rsid w:val="003A4249"/>
    <w:rsid w:val="003C57A6"/>
    <w:rsid w:val="003D4816"/>
    <w:rsid w:val="00435E62"/>
    <w:rsid w:val="004374BF"/>
    <w:rsid w:val="0044224A"/>
    <w:rsid w:val="00444953"/>
    <w:rsid w:val="00446B8D"/>
    <w:rsid w:val="00452609"/>
    <w:rsid w:val="00455B99"/>
    <w:rsid w:val="00476027"/>
    <w:rsid w:val="00481438"/>
    <w:rsid w:val="004836FE"/>
    <w:rsid w:val="004A1C01"/>
    <w:rsid w:val="004A5E6A"/>
    <w:rsid w:val="004B00B9"/>
    <w:rsid w:val="004D18E6"/>
    <w:rsid w:val="004D676D"/>
    <w:rsid w:val="004D6B83"/>
    <w:rsid w:val="004E4C9B"/>
    <w:rsid w:val="0050557B"/>
    <w:rsid w:val="005136CA"/>
    <w:rsid w:val="00514D29"/>
    <w:rsid w:val="00522EE7"/>
    <w:rsid w:val="00531CB1"/>
    <w:rsid w:val="005328C9"/>
    <w:rsid w:val="0053325F"/>
    <w:rsid w:val="005743E0"/>
    <w:rsid w:val="005931FC"/>
    <w:rsid w:val="005A38A1"/>
    <w:rsid w:val="005C5130"/>
    <w:rsid w:val="005D3077"/>
    <w:rsid w:val="005D592E"/>
    <w:rsid w:val="005F293F"/>
    <w:rsid w:val="0060434E"/>
    <w:rsid w:val="006647C6"/>
    <w:rsid w:val="00664BDA"/>
    <w:rsid w:val="00670118"/>
    <w:rsid w:val="006A0829"/>
    <w:rsid w:val="006A40E5"/>
    <w:rsid w:val="006A598C"/>
    <w:rsid w:val="006C2F10"/>
    <w:rsid w:val="006D3DBA"/>
    <w:rsid w:val="006D7502"/>
    <w:rsid w:val="006F4E4D"/>
    <w:rsid w:val="007067C1"/>
    <w:rsid w:val="00717BAB"/>
    <w:rsid w:val="007323AC"/>
    <w:rsid w:val="007409AF"/>
    <w:rsid w:val="0075578C"/>
    <w:rsid w:val="00756105"/>
    <w:rsid w:val="007763E7"/>
    <w:rsid w:val="00783DD0"/>
    <w:rsid w:val="00796298"/>
    <w:rsid w:val="0079760D"/>
    <w:rsid w:val="007A0411"/>
    <w:rsid w:val="007B1137"/>
    <w:rsid w:val="007C0EA2"/>
    <w:rsid w:val="007C6D4B"/>
    <w:rsid w:val="008222B8"/>
    <w:rsid w:val="008404A4"/>
    <w:rsid w:val="008405F3"/>
    <w:rsid w:val="00847792"/>
    <w:rsid w:val="00853809"/>
    <w:rsid w:val="008863E6"/>
    <w:rsid w:val="008B66BD"/>
    <w:rsid w:val="008D1F08"/>
    <w:rsid w:val="008D3DBC"/>
    <w:rsid w:val="009104C4"/>
    <w:rsid w:val="00915ED4"/>
    <w:rsid w:val="009233C6"/>
    <w:rsid w:val="00947E83"/>
    <w:rsid w:val="00963923"/>
    <w:rsid w:val="00970917"/>
    <w:rsid w:val="00982F39"/>
    <w:rsid w:val="0098333E"/>
    <w:rsid w:val="009B2F79"/>
    <w:rsid w:val="009B6AFA"/>
    <w:rsid w:val="009C61EC"/>
    <w:rsid w:val="009F2DFF"/>
    <w:rsid w:val="009F61E5"/>
    <w:rsid w:val="00A03BD4"/>
    <w:rsid w:val="00A060D8"/>
    <w:rsid w:val="00A10256"/>
    <w:rsid w:val="00A2394C"/>
    <w:rsid w:val="00A53C5B"/>
    <w:rsid w:val="00AB291F"/>
    <w:rsid w:val="00AB467E"/>
    <w:rsid w:val="00AC799D"/>
    <w:rsid w:val="00B364EB"/>
    <w:rsid w:val="00B51BB4"/>
    <w:rsid w:val="00B6749B"/>
    <w:rsid w:val="00B73617"/>
    <w:rsid w:val="00BA72A8"/>
    <w:rsid w:val="00BD1A6B"/>
    <w:rsid w:val="00BD24E0"/>
    <w:rsid w:val="00BD4A16"/>
    <w:rsid w:val="00BE77DC"/>
    <w:rsid w:val="00BF4134"/>
    <w:rsid w:val="00BF6E4D"/>
    <w:rsid w:val="00C109CF"/>
    <w:rsid w:val="00C1685A"/>
    <w:rsid w:val="00C43C53"/>
    <w:rsid w:val="00C4688B"/>
    <w:rsid w:val="00C52254"/>
    <w:rsid w:val="00CA1619"/>
    <w:rsid w:val="00CD7EEB"/>
    <w:rsid w:val="00CE229F"/>
    <w:rsid w:val="00D02DDB"/>
    <w:rsid w:val="00D135ED"/>
    <w:rsid w:val="00D13DEC"/>
    <w:rsid w:val="00D3618D"/>
    <w:rsid w:val="00D454D8"/>
    <w:rsid w:val="00D45D38"/>
    <w:rsid w:val="00D53E2F"/>
    <w:rsid w:val="00D57DCB"/>
    <w:rsid w:val="00D730BE"/>
    <w:rsid w:val="00D75645"/>
    <w:rsid w:val="00D86310"/>
    <w:rsid w:val="00DA40B7"/>
    <w:rsid w:val="00DB00B1"/>
    <w:rsid w:val="00DB03CE"/>
    <w:rsid w:val="00DB22C0"/>
    <w:rsid w:val="00DD0370"/>
    <w:rsid w:val="00DD280F"/>
    <w:rsid w:val="00E31925"/>
    <w:rsid w:val="00E369FE"/>
    <w:rsid w:val="00E42777"/>
    <w:rsid w:val="00E540B0"/>
    <w:rsid w:val="00E574B0"/>
    <w:rsid w:val="00E61469"/>
    <w:rsid w:val="00E62512"/>
    <w:rsid w:val="00E72649"/>
    <w:rsid w:val="00E94333"/>
    <w:rsid w:val="00F043C7"/>
    <w:rsid w:val="00F101D9"/>
    <w:rsid w:val="00F10F3D"/>
    <w:rsid w:val="00F11489"/>
    <w:rsid w:val="00F1245D"/>
    <w:rsid w:val="00F12BD4"/>
    <w:rsid w:val="00F16BBC"/>
    <w:rsid w:val="00F25EE1"/>
    <w:rsid w:val="00F36A3E"/>
    <w:rsid w:val="00F66186"/>
    <w:rsid w:val="00F77BA7"/>
    <w:rsid w:val="00F84982"/>
    <w:rsid w:val="00FB23E0"/>
    <w:rsid w:val="00FB4529"/>
    <w:rsid w:val="00FD2113"/>
    <w:rsid w:val="00FD23CC"/>
    <w:rsid w:val="00FE2351"/>
    <w:rsid w:val="00FF3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871D6"/>
  <w15:chartTrackingRefBased/>
  <w15:docId w15:val="{E5A41EBA-F9F8-45B1-9A2E-0E980931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77D6"/>
    <w:rPr>
      <w:sz w:val="24"/>
      <w:szCs w:val="24"/>
      <w:lang w:eastAsia="en-US"/>
    </w:rPr>
  </w:style>
  <w:style w:type="paragraph" w:styleId="Heading1">
    <w:name w:val="heading 1"/>
    <w:basedOn w:val="Normal"/>
    <w:next w:val="Normal"/>
    <w:qFormat/>
    <w:pPr>
      <w:keepNext/>
      <w:jc w:val="center"/>
      <w:outlineLvl w:val="0"/>
    </w:pPr>
    <w:rPr>
      <w:rFonts w:ascii="Verdana" w:hAnsi="Verdana"/>
      <w:b/>
      <w:bCs/>
    </w:rPr>
  </w:style>
  <w:style w:type="paragraph" w:styleId="Heading2">
    <w:name w:val="heading 2"/>
    <w:basedOn w:val="Normal"/>
    <w:next w:val="Normal"/>
    <w:qFormat/>
    <w:rsid w:val="006A0829"/>
    <w:pPr>
      <w:keepNext/>
      <w:spacing w:before="120" w:after="120"/>
      <w:outlineLvl w:val="1"/>
    </w:pPr>
    <w:rPr>
      <w:rFonts w:ascii="Verdana" w:hAnsi="Verdana"/>
      <w:b/>
      <w:bCs/>
      <w:sz w:val="26"/>
    </w:rPr>
  </w:style>
  <w:style w:type="paragraph" w:styleId="Heading3">
    <w:name w:val="heading 3"/>
    <w:basedOn w:val="Normal"/>
    <w:next w:val="Normal"/>
    <w:link w:val="Heading3Char"/>
    <w:unhideWhenUsed/>
    <w:qFormat/>
    <w:rsid w:val="005A38A1"/>
    <w:pPr>
      <w:keepNext/>
      <w:keepLines/>
      <w:spacing w:before="120" w:after="120"/>
      <w:outlineLvl w:val="2"/>
    </w:pPr>
    <w:rPr>
      <w:rFonts w:ascii="Verdana" w:eastAsiaTheme="majorEastAsia" w:hAnsi="Verdana" w:cstheme="majorBidi"/>
      <w:b/>
      <w:color w:val="000000" w:themeColor="text1"/>
    </w:rPr>
  </w:style>
  <w:style w:type="paragraph" w:styleId="Heading4">
    <w:name w:val="heading 4"/>
    <w:basedOn w:val="Normal"/>
    <w:next w:val="Normal"/>
    <w:link w:val="Heading4Char"/>
    <w:unhideWhenUsed/>
    <w:qFormat/>
    <w:rsid w:val="00D13DEC"/>
    <w:pPr>
      <w:keepNext/>
      <w:keepLines/>
      <w:spacing w:before="40"/>
      <w:outlineLvl w:val="3"/>
    </w:pPr>
    <w:rPr>
      <w:rFonts w:ascii="Verdana" w:eastAsiaTheme="majorEastAsia" w:hAnsi="Verdana" w:cstheme="majorBidi"/>
      <w:b/>
      <w:iCs/>
      <w:color w:val="0F4761" w:themeColor="accent1" w:themeShade="BF"/>
    </w:rPr>
  </w:style>
  <w:style w:type="paragraph" w:styleId="Heading5">
    <w:name w:val="heading 5"/>
    <w:basedOn w:val="Normal"/>
    <w:next w:val="Normal"/>
    <w:link w:val="Heading5Char"/>
    <w:unhideWhenUsed/>
    <w:qFormat/>
    <w:rsid w:val="005D3077"/>
    <w:pPr>
      <w:keepNext/>
      <w:keepLines/>
      <w:spacing w:before="240" w:after="120"/>
      <w:outlineLvl w:val="4"/>
    </w:pPr>
    <w:rPr>
      <w:rFonts w:ascii="Verdana" w:eastAsiaTheme="majorEastAsia" w:hAnsi="Verdana" w:cstheme="majorBidi"/>
      <w:b/>
      <w:color w:val="747474"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743E0"/>
    <w:rPr>
      <w:rFonts w:ascii="Tahoma" w:hAnsi="Tahoma" w:cs="Tahoma"/>
      <w:sz w:val="16"/>
      <w:szCs w:val="16"/>
    </w:rPr>
  </w:style>
  <w:style w:type="character" w:customStyle="1" w:styleId="BalloonTextChar">
    <w:name w:val="Balloon Text Char"/>
    <w:link w:val="BalloonText"/>
    <w:rsid w:val="005743E0"/>
    <w:rPr>
      <w:rFonts w:ascii="Tahoma" w:hAnsi="Tahoma" w:cs="Tahoma"/>
      <w:sz w:val="16"/>
      <w:szCs w:val="16"/>
      <w:lang w:eastAsia="en-US"/>
    </w:rPr>
  </w:style>
  <w:style w:type="table" w:styleId="TableGrid">
    <w:name w:val="Table Grid"/>
    <w:basedOn w:val="TableNormal"/>
    <w:rsid w:val="00FD2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BE77DC"/>
    <w:pPr>
      <w:tabs>
        <w:tab w:val="center" w:pos="4513"/>
        <w:tab w:val="right" w:pos="9026"/>
      </w:tabs>
    </w:pPr>
    <w:rPr>
      <w:sz w:val="20"/>
      <w:szCs w:val="20"/>
      <w:lang w:eastAsia="en-GB"/>
    </w:rPr>
  </w:style>
  <w:style w:type="character" w:customStyle="1" w:styleId="HeaderChar">
    <w:name w:val="Header Char"/>
    <w:link w:val="Header1"/>
    <w:uiPriority w:val="99"/>
    <w:rsid w:val="00BE77DC"/>
  </w:style>
  <w:style w:type="paragraph" w:styleId="Header">
    <w:name w:val="header"/>
    <w:basedOn w:val="Normal"/>
    <w:link w:val="HeaderChar1"/>
    <w:rsid w:val="00BE77DC"/>
    <w:pPr>
      <w:tabs>
        <w:tab w:val="center" w:pos="4513"/>
        <w:tab w:val="right" w:pos="9026"/>
      </w:tabs>
    </w:pPr>
  </w:style>
  <w:style w:type="character" w:customStyle="1" w:styleId="HeaderChar1">
    <w:name w:val="Header Char1"/>
    <w:link w:val="Header"/>
    <w:rsid w:val="00BE77DC"/>
    <w:rPr>
      <w:sz w:val="24"/>
      <w:szCs w:val="24"/>
      <w:lang w:eastAsia="en-US"/>
    </w:rPr>
  </w:style>
  <w:style w:type="paragraph" w:styleId="TOAHeading">
    <w:name w:val="toa heading"/>
    <w:basedOn w:val="Normal"/>
    <w:next w:val="Normal"/>
    <w:rsid w:val="00F12BD4"/>
    <w:pPr>
      <w:widowControl w:val="0"/>
      <w:tabs>
        <w:tab w:val="right" w:pos="9360"/>
      </w:tabs>
      <w:suppressAutoHyphens/>
      <w:autoSpaceDE w:val="0"/>
      <w:autoSpaceDN w:val="0"/>
      <w:adjustRightInd w:val="0"/>
      <w:spacing w:line="240" w:lineRule="atLeast"/>
    </w:pPr>
    <w:rPr>
      <w:rFonts w:ascii="Courier New" w:hAnsi="Courier New" w:cs="Courier New"/>
      <w:lang w:val="en-US" w:eastAsia="en-GB"/>
    </w:rPr>
  </w:style>
  <w:style w:type="paragraph" w:styleId="BodyText">
    <w:name w:val="Body Text"/>
    <w:basedOn w:val="Normal"/>
    <w:link w:val="BodyTextChar"/>
    <w:rsid w:val="00947E83"/>
    <w:pPr>
      <w:widowControl w:val="0"/>
      <w:tabs>
        <w:tab w:val="left" w:pos="-720"/>
      </w:tabs>
      <w:suppressAutoHyphens/>
      <w:autoSpaceDE w:val="0"/>
      <w:autoSpaceDN w:val="0"/>
      <w:adjustRightInd w:val="0"/>
      <w:spacing w:before="240" w:after="240" w:line="360" w:lineRule="auto"/>
    </w:pPr>
    <w:rPr>
      <w:rFonts w:ascii="Verdana" w:hAnsi="Verdana"/>
      <w:spacing w:val="-3"/>
      <w:lang w:eastAsia="en-GB"/>
    </w:rPr>
  </w:style>
  <w:style w:type="character" w:customStyle="1" w:styleId="BodyTextChar">
    <w:name w:val="Body Text Char"/>
    <w:link w:val="BodyText"/>
    <w:rsid w:val="00947E83"/>
    <w:rPr>
      <w:rFonts w:ascii="Verdana" w:hAnsi="Verdana"/>
      <w:spacing w:val="-3"/>
      <w:sz w:val="24"/>
      <w:szCs w:val="24"/>
    </w:rPr>
  </w:style>
  <w:style w:type="paragraph" w:styleId="ListParagraph">
    <w:name w:val="List Paragraph"/>
    <w:basedOn w:val="Normal"/>
    <w:uiPriority w:val="34"/>
    <w:qFormat/>
    <w:rsid w:val="00F12BD4"/>
    <w:pPr>
      <w:widowControl w:val="0"/>
      <w:autoSpaceDE w:val="0"/>
      <w:autoSpaceDN w:val="0"/>
      <w:adjustRightInd w:val="0"/>
      <w:ind w:left="720"/>
    </w:pPr>
    <w:rPr>
      <w:rFonts w:ascii="Courier New" w:hAnsi="Courier New" w:cs="Courier New"/>
      <w:lang w:val="en-US" w:eastAsia="en-GB"/>
    </w:rPr>
  </w:style>
  <w:style w:type="paragraph" w:styleId="NoSpacing">
    <w:name w:val="No Spacing"/>
    <w:uiPriority w:val="1"/>
    <w:qFormat/>
    <w:rsid w:val="00CA1619"/>
    <w:rPr>
      <w:rFonts w:ascii="Calibri" w:eastAsia="Calibri" w:hAnsi="Calibri"/>
      <w:color w:val="44546A"/>
      <w:lang w:val="en-US" w:eastAsia="en-US"/>
    </w:rPr>
  </w:style>
  <w:style w:type="paragraph" w:styleId="Footer">
    <w:name w:val="footer"/>
    <w:basedOn w:val="Normal"/>
    <w:link w:val="FooterChar"/>
    <w:rsid w:val="004374BF"/>
    <w:pPr>
      <w:tabs>
        <w:tab w:val="center" w:pos="4513"/>
        <w:tab w:val="right" w:pos="9026"/>
      </w:tabs>
    </w:pPr>
  </w:style>
  <w:style w:type="character" w:customStyle="1" w:styleId="FooterChar">
    <w:name w:val="Footer Char"/>
    <w:link w:val="Footer"/>
    <w:rsid w:val="004374BF"/>
    <w:rPr>
      <w:sz w:val="24"/>
      <w:szCs w:val="24"/>
      <w:lang w:eastAsia="en-US"/>
    </w:rPr>
  </w:style>
  <w:style w:type="paragraph" w:customStyle="1" w:styleId="B1BodyText">
    <w:name w:val="B1 Body Text"/>
    <w:basedOn w:val="Normal"/>
    <w:rsid w:val="00C1685A"/>
    <w:pPr>
      <w:widowControl w:val="0"/>
      <w:tabs>
        <w:tab w:val="left" w:pos="850"/>
      </w:tabs>
      <w:suppressAutoHyphens/>
      <w:autoSpaceDE w:val="0"/>
      <w:autoSpaceDN w:val="0"/>
      <w:adjustRightInd w:val="0"/>
      <w:spacing w:before="60" w:after="120" w:line="260" w:lineRule="atLeast"/>
      <w:ind w:left="850"/>
      <w:textAlignment w:val="center"/>
    </w:pPr>
    <w:rPr>
      <w:rFonts w:ascii="ITC Franklin Gothic Book" w:hAnsi="ITC Franklin Gothic Book" w:cs="ITC Franklin Gothic Book"/>
      <w:color w:val="000000"/>
      <w:sz w:val="20"/>
      <w:szCs w:val="20"/>
      <w:lang w:eastAsia="en-GB"/>
    </w:rPr>
  </w:style>
  <w:style w:type="character" w:styleId="Hyperlink">
    <w:name w:val="Hyperlink"/>
    <w:uiPriority w:val="99"/>
    <w:unhideWhenUsed/>
    <w:rsid w:val="00C1685A"/>
    <w:rPr>
      <w:color w:val="0000FF"/>
      <w:u w:val="single"/>
    </w:rPr>
  </w:style>
  <w:style w:type="paragraph" w:customStyle="1" w:styleId="H2Heading">
    <w:name w:val="H2 Heading"/>
    <w:basedOn w:val="Normal"/>
    <w:rsid w:val="00717BAB"/>
    <w:pPr>
      <w:keepNext/>
      <w:widowControl w:val="0"/>
      <w:tabs>
        <w:tab w:val="left" w:pos="850"/>
      </w:tabs>
      <w:suppressAutoHyphens/>
      <w:autoSpaceDE w:val="0"/>
      <w:autoSpaceDN w:val="0"/>
      <w:adjustRightInd w:val="0"/>
      <w:spacing w:before="240" w:line="400" w:lineRule="atLeast"/>
      <w:ind w:left="850"/>
      <w:textAlignment w:val="center"/>
    </w:pPr>
    <w:rPr>
      <w:rFonts w:ascii="ITC Stone Sans Medium" w:hAnsi="ITC Stone Sans Medium" w:cs="ITC Stone Sans Medium"/>
      <w:color w:val="000000"/>
      <w:sz w:val="32"/>
      <w:szCs w:val="32"/>
      <w:lang w:eastAsia="en-GB"/>
    </w:rPr>
  </w:style>
  <w:style w:type="paragraph" w:customStyle="1" w:styleId="StyleHeading2CustomColorRGB38146217">
    <w:name w:val="Style Heading 2 + Custom Color(RGB(38146217))"/>
    <w:basedOn w:val="Heading2"/>
    <w:rsid w:val="00BD24E0"/>
    <w:pPr>
      <w:spacing w:before="180" w:after="240"/>
    </w:pPr>
    <w:rPr>
      <w:color w:val="2692D9"/>
      <w:sz w:val="28"/>
    </w:rPr>
  </w:style>
  <w:style w:type="character" w:customStyle="1" w:styleId="Heading3Char">
    <w:name w:val="Heading 3 Char"/>
    <w:basedOn w:val="DefaultParagraphFont"/>
    <w:link w:val="Heading3"/>
    <w:rsid w:val="005A38A1"/>
    <w:rPr>
      <w:rFonts w:ascii="Verdana" w:eastAsiaTheme="majorEastAsia" w:hAnsi="Verdana" w:cstheme="majorBidi"/>
      <w:b/>
      <w:color w:val="000000" w:themeColor="text1"/>
      <w:sz w:val="24"/>
      <w:szCs w:val="24"/>
      <w:lang w:eastAsia="en-US"/>
    </w:rPr>
  </w:style>
  <w:style w:type="paragraph" w:styleId="ListBullet">
    <w:name w:val="List Bullet"/>
    <w:basedOn w:val="Normal"/>
    <w:rsid w:val="004B00B9"/>
    <w:pPr>
      <w:numPr>
        <w:numId w:val="21"/>
      </w:numPr>
      <w:spacing w:after="240" w:line="324" w:lineRule="auto"/>
      <w:ind w:left="1077" w:hanging="357"/>
      <w:contextualSpacing/>
    </w:pPr>
    <w:rPr>
      <w:rFonts w:ascii="Verdana" w:hAnsi="Verdana"/>
    </w:rPr>
  </w:style>
  <w:style w:type="character" w:customStyle="1" w:styleId="Heading4Char">
    <w:name w:val="Heading 4 Char"/>
    <w:basedOn w:val="DefaultParagraphFont"/>
    <w:link w:val="Heading4"/>
    <w:rsid w:val="00D13DEC"/>
    <w:rPr>
      <w:rFonts w:ascii="Verdana" w:eastAsiaTheme="majorEastAsia" w:hAnsi="Verdana" w:cstheme="majorBidi"/>
      <w:b/>
      <w:iCs/>
      <w:color w:val="0F4761" w:themeColor="accent1" w:themeShade="BF"/>
      <w:sz w:val="24"/>
      <w:szCs w:val="24"/>
      <w:lang w:eastAsia="en-US"/>
    </w:rPr>
  </w:style>
  <w:style w:type="paragraph" w:styleId="List">
    <w:name w:val="List"/>
    <w:basedOn w:val="Normal"/>
    <w:rsid w:val="00F11489"/>
    <w:pPr>
      <w:tabs>
        <w:tab w:val="left" w:pos="1701"/>
      </w:tabs>
      <w:spacing w:after="240" w:line="300" w:lineRule="auto"/>
      <w:ind w:left="284" w:hanging="284"/>
      <w:contextualSpacing/>
    </w:pPr>
    <w:rPr>
      <w:rFonts w:ascii="Verdana" w:hAnsi="Verdana"/>
    </w:rPr>
  </w:style>
  <w:style w:type="character" w:styleId="UnresolvedMention">
    <w:name w:val="Unresolved Mention"/>
    <w:basedOn w:val="DefaultParagraphFont"/>
    <w:uiPriority w:val="99"/>
    <w:semiHidden/>
    <w:unhideWhenUsed/>
    <w:rsid w:val="00476027"/>
    <w:rPr>
      <w:color w:val="605E5C"/>
      <w:shd w:val="clear" w:color="auto" w:fill="E1DFDD"/>
    </w:rPr>
  </w:style>
  <w:style w:type="character" w:customStyle="1" w:styleId="Heading5Char">
    <w:name w:val="Heading 5 Char"/>
    <w:basedOn w:val="DefaultParagraphFont"/>
    <w:link w:val="Heading5"/>
    <w:rsid w:val="005D3077"/>
    <w:rPr>
      <w:rFonts w:ascii="Verdana" w:eastAsiaTheme="majorEastAsia" w:hAnsi="Verdana" w:cstheme="majorBidi"/>
      <w:b/>
      <w:color w:val="747474" w:themeColor="background2" w:themeShade="80"/>
      <w:sz w:val="24"/>
      <w:szCs w:val="24"/>
      <w:lang w:eastAsia="en-US"/>
    </w:rPr>
  </w:style>
  <w:style w:type="paragraph" w:customStyle="1" w:styleId="StyleVerdana10ptBoxSinglesolidlineAuto05ptLinew">
    <w:name w:val="Style Verdana 10 pt Box: (Single solid line Auto  0.5 pt Line w..."/>
    <w:basedOn w:val="Normal"/>
    <w:rsid w:val="00016A45"/>
    <w:pPr>
      <w:framePr w:w="9072" w:h="3402" w:hRule="exact" w:wrap="around" w:vAnchor="text" w:hAnchor="text" w:y="1"/>
      <w:pBdr>
        <w:top w:val="single" w:sz="4" w:space="1" w:color="auto"/>
        <w:left w:val="single" w:sz="4" w:space="4" w:color="auto"/>
        <w:bottom w:val="single" w:sz="4" w:space="1" w:color="auto"/>
        <w:right w:val="single" w:sz="4" w:space="4" w:color="auto"/>
      </w:pBdr>
    </w:pPr>
    <w:rPr>
      <w:rFonts w:ascii="Verdana" w:hAnsi="Verdana"/>
      <w:szCs w:val="20"/>
    </w:rPr>
  </w:style>
  <w:style w:type="paragraph" w:styleId="BodyText2">
    <w:name w:val="Body Text 2"/>
    <w:basedOn w:val="Normal"/>
    <w:link w:val="BodyText2Char"/>
    <w:rsid w:val="00E369FE"/>
    <w:pPr>
      <w:spacing w:before="480" w:after="360" w:line="300" w:lineRule="auto"/>
    </w:pPr>
    <w:rPr>
      <w:rFonts w:ascii="Verdana" w:hAnsi="Verdana"/>
    </w:rPr>
  </w:style>
  <w:style w:type="character" w:customStyle="1" w:styleId="BodyText2Char">
    <w:name w:val="Body Text 2 Char"/>
    <w:basedOn w:val="DefaultParagraphFont"/>
    <w:link w:val="BodyText2"/>
    <w:rsid w:val="00E369FE"/>
    <w:rPr>
      <w:rFonts w:ascii="Verdana" w:hAnsi="Verdana"/>
      <w:sz w:val="24"/>
      <w:szCs w:val="24"/>
      <w:lang w:eastAsia="en-US"/>
    </w:rPr>
  </w:style>
  <w:style w:type="paragraph" w:styleId="Subtitle">
    <w:name w:val="Subtitle"/>
    <w:basedOn w:val="Normal"/>
    <w:next w:val="Normal"/>
    <w:link w:val="SubtitleChar"/>
    <w:uiPriority w:val="11"/>
    <w:qFormat/>
    <w:rsid w:val="003C57A6"/>
    <w:pPr>
      <w:framePr w:wrap="around" w:vAnchor="text" w:hAnchor="text" w:y="1"/>
      <w:numPr>
        <w:ilvl w:val="1"/>
      </w:numPr>
      <w:spacing w:before="120" w:after="160" w:line="259" w:lineRule="auto"/>
    </w:pPr>
    <w:rPr>
      <w:rFonts w:ascii="Verdana" w:eastAsiaTheme="majorEastAsia" w:hAnsi="Verdana" w:cstheme="majorBidi"/>
      <w:color w:val="000000" w:themeColor="text1"/>
      <w:spacing w:val="15"/>
      <w:kern w:val="2"/>
      <w:sz w:val="48"/>
      <w:szCs w:val="28"/>
      <w14:ligatures w14:val="standardContextual"/>
    </w:rPr>
  </w:style>
  <w:style w:type="character" w:customStyle="1" w:styleId="SubtitleChar">
    <w:name w:val="Subtitle Char"/>
    <w:basedOn w:val="DefaultParagraphFont"/>
    <w:link w:val="Subtitle"/>
    <w:uiPriority w:val="11"/>
    <w:rsid w:val="003C57A6"/>
    <w:rPr>
      <w:rFonts w:ascii="Verdana" w:eastAsiaTheme="majorEastAsia" w:hAnsi="Verdana" w:cstheme="majorBidi"/>
      <w:color w:val="000000" w:themeColor="text1"/>
      <w:spacing w:val="15"/>
      <w:kern w:val="2"/>
      <w:sz w:val="4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quality@nilgos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nformationcommissioner.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ddn\Local%20Settings\Temporary%20Internet%20Files\OLKB\Meeting%20Paper%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8186E0-6060-4235-B521-3E5839C5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Paper Summary.dot</Template>
  <TotalTime>267</TotalTime>
  <Pages>15</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Strategic Plan 2022-2025</vt:lpstr>
    </vt:vector>
  </TitlesOfParts>
  <Company>NILGOSC</Company>
  <LinksUpToDate>false</LinksUpToDate>
  <CharactersWithSpaces>14840</CharactersWithSpaces>
  <SharedDoc>false</SharedDoc>
  <HLinks>
    <vt:vector size="18" baseType="variant">
      <vt:variant>
        <vt:i4>8323133</vt:i4>
      </vt:variant>
      <vt:variant>
        <vt:i4>9</vt:i4>
      </vt:variant>
      <vt:variant>
        <vt:i4>0</vt:i4>
      </vt:variant>
      <vt:variant>
        <vt:i4>5</vt:i4>
      </vt:variant>
      <vt:variant>
        <vt:lpwstr>http://www.informationcommissioner.gov.uk/</vt:lpwstr>
      </vt:variant>
      <vt:variant>
        <vt:lpwstr/>
      </vt:variant>
      <vt:variant>
        <vt:i4>6094937</vt:i4>
      </vt:variant>
      <vt:variant>
        <vt:i4>3</vt:i4>
      </vt:variant>
      <vt:variant>
        <vt:i4>0</vt:i4>
      </vt:variant>
      <vt:variant>
        <vt:i4>5</vt:i4>
      </vt:variant>
      <vt:variant>
        <vt:lpwstr>http://www.nilgosc.org.uk/completed-equality-screening-templates</vt:lpwstr>
      </vt:variant>
      <vt:variant>
        <vt:lpwstr/>
      </vt:variant>
      <vt:variant>
        <vt:i4>5111865</vt:i4>
      </vt:variant>
      <vt:variant>
        <vt:i4>0</vt:i4>
      </vt:variant>
      <vt:variant>
        <vt:i4>0</vt:i4>
      </vt:variant>
      <vt:variant>
        <vt:i4>5</vt:i4>
      </vt:variant>
      <vt:variant>
        <vt:lpwstr>mailto:equality@nilgosc.org.uk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2022-2025</dc:title>
  <dc:subject/>
  <dc:creator>toddn</dc:creator>
  <cp:keywords/>
  <cp:lastModifiedBy>Ryan McDaniel</cp:lastModifiedBy>
  <cp:revision>109</cp:revision>
  <cp:lastPrinted>2024-06-18T11:58:00Z</cp:lastPrinted>
  <dcterms:created xsi:type="dcterms:W3CDTF">2024-08-22T08:40:00Z</dcterms:created>
  <dcterms:modified xsi:type="dcterms:W3CDTF">2024-09-06T11:41:00Z</dcterms:modified>
</cp:coreProperties>
</file>